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60C" w:rsidRDefault="000E660C">
      <w:pPr>
        <w:pBdr>
          <w:top w:val="nil"/>
          <w:left w:val="nil"/>
          <w:bottom w:val="nil"/>
          <w:right w:val="nil"/>
          <w:between w:val="nil"/>
        </w:pBdr>
        <w:tabs>
          <w:tab w:val="left" w:pos="8647"/>
          <w:tab w:val="left" w:pos="10205"/>
        </w:tabs>
        <w:spacing w:after="60"/>
        <w:ind w:left="4395"/>
        <w:jc w:val="right"/>
        <w:rPr>
          <w:rFonts w:ascii="Times New Roman" w:eastAsia="Times New Roman" w:hAnsi="Times New Roman" w:cs="Times New Roman"/>
          <w:color w:val="000000"/>
          <w:sz w:val="24"/>
          <w:szCs w:val="24"/>
        </w:rPr>
      </w:pPr>
    </w:p>
    <w:p w:rsidR="000E660C" w:rsidRDefault="00BA164A">
      <w:pPr>
        <w:pBdr>
          <w:top w:val="nil"/>
          <w:left w:val="nil"/>
          <w:bottom w:val="nil"/>
          <w:right w:val="nil"/>
          <w:between w:val="nil"/>
        </w:pBdr>
        <w:tabs>
          <w:tab w:val="left" w:pos="10205"/>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ПЕРЕЛІК</w:t>
      </w:r>
    </w:p>
    <w:p w:rsidR="000E660C" w:rsidRDefault="00BA164A">
      <w:pPr>
        <w:pBdr>
          <w:top w:val="nil"/>
          <w:left w:val="nil"/>
          <w:bottom w:val="nil"/>
          <w:right w:val="nil"/>
          <w:between w:val="nil"/>
        </w:pBdr>
        <w:spacing w:after="6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питань щодо проведення заходу державного нагляду (контролю)</w:t>
      </w:r>
    </w:p>
    <w:p w:rsidR="000E660C" w:rsidRDefault="00BA164A">
      <w:pPr>
        <w:pBdr>
          <w:top w:val="nil"/>
          <w:left w:val="nil"/>
          <w:bottom w:val="nil"/>
          <w:right w:val="nil"/>
          <w:between w:val="nil"/>
        </w:pBdr>
        <w:spacing w:after="60"/>
        <w:ind w:firstLine="70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щодо провадження освітньої діяльності у сфері професійної (професійно-технічної) освіти та післядипломної освіти для осіб з професійною (професійно-технічною) освітою</w:t>
      </w:r>
    </w:p>
    <w:p w:rsidR="000E660C" w:rsidRDefault="000E660C">
      <w:pPr>
        <w:pBdr>
          <w:top w:val="nil"/>
          <w:left w:val="nil"/>
          <w:bottom w:val="nil"/>
          <w:right w:val="nil"/>
          <w:between w:val="nil"/>
        </w:pBdr>
        <w:jc w:val="both"/>
        <w:rPr>
          <w:rFonts w:ascii="Times New Roman" w:eastAsia="Times New Roman" w:hAnsi="Times New Roman" w:cs="Times New Roman"/>
          <w:color w:val="000000"/>
          <w:sz w:val="8"/>
          <w:szCs w:val="8"/>
        </w:rPr>
      </w:pPr>
    </w:p>
    <w:tbl>
      <w:tblPr>
        <w:tblStyle w:val="ad"/>
        <w:tblW w:w="1091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6"/>
        <w:gridCol w:w="2975"/>
        <w:gridCol w:w="1135"/>
        <w:gridCol w:w="1983"/>
        <w:gridCol w:w="567"/>
        <w:gridCol w:w="429"/>
        <w:gridCol w:w="56"/>
        <w:gridCol w:w="796"/>
        <w:gridCol w:w="2268"/>
      </w:tblGrid>
      <w:tr w:rsidR="000E660C">
        <w:trPr>
          <w:trHeight w:val="640"/>
        </w:trPr>
        <w:tc>
          <w:tcPr>
            <w:tcW w:w="706" w:type="dxa"/>
            <w:vMerge w:val="restart"/>
            <w:vAlign w:val="center"/>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з/п</w:t>
            </w:r>
          </w:p>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975" w:type="dxa"/>
            <w:vMerge w:val="restart"/>
            <w:vAlign w:val="center"/>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Питання щодо дотримання суб’єктом господарювання вимог законодавства</w:t>
            </w:r>
          </w:p>
        </w:tc>
        <w:tc>
          <w:tcPr>
            <w:tcW w:w="1135" w:type="dxa"/>
            <w:vMerge w:val="restart"/>
            <w:vAlign w:val="center"/>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Ступінь </w:t>
            </w:r>
          </w:p>
          <w:p w:rsidR="000E660C" w:rsidRDefault="00BA164A">
            <w:pPr>
              <w:pBdr>
                <w:top w:val="nil"/>
                <w:left w:val="nil"/>
                <w:bottom w:val="nil"/>
                <w:right w:val="nil"/>
                <w:between w:val="nil"/>
              </w:pBdr>
              <w:ind w:left="-106" w:right="-110"/>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ризику суб’єкта господа-рювання*</w:t>
            </w:r>
          </w:p>
        </w:tc>
        <w:tc>
          <w:tcPr>
            <w:tcW w:w="1983" w:type="dxa"/>
            <w:vMerge w:val="restart"/>
            <w:vAlign w:val="center"/>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Позиція суб’єкта господарювання щодо негативного впливу вимоги законодавства</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(від 1 до 4 балів)**</w:t>
            </w:r>
          </w:p>
        </w:tc>
        <w:tc>
          <w:tcPr>
            <w:tcW w:w="1848" w:type="dxa"/>
            <w:gridSpan w:val="4"/>
            <w:vAlign w:val="center"/>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Відповіді на питання</w:t>
            </w:r>
          </w:p>
        </w:tc>
        <w:tc>
          <w:tcPr>
            <w:tcW w:w="2268" w:type="dxa"/>
            <w:vMerge w:val="restart"/>
            <w:vAlign w:val="center"/>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Нормативне обґрунтування</w:t>
            </w:r>
          </w:p>
        </w:tc>
      </w:tr>
      <w:tr w:rsidR="000E660C">
        <w:trPr>
          <w:trHeight w:val="315"/>
        </w:trPr>
        <w:tc>
          <w:tcPr>
            <w:tcW w:w="706" w:type="dxa"/>
            <w:vMerge/>
            <w:vAlign w:val="center"/>
          </w:tcPr>
          <w:p w:rsidR="000E660C" w:rsidRDefault="000E660C">
            <w:pPr>
              <w:widowControl w:val="0"/>
              <w:pBdr>
                <w:top w:val="nil"/>
                <w:left w:val="nil"/>
                <w:bottom w:val="nil"/>
                <w:right w:val="nil"/>
                <w:between w:val="nil"/>
              </w:pBdr>
              <w:spacing w:line="276" w:lineRule="auto"/>
              <w:rPr>
                <w:rFonts w:ascii="Times New Roman" w:eastAsia="Times New Roman" w:hAnsi="Times New Roman" w:cs="Times New Roman"/>
                <w:color w:val="000000"/>
                <w:sz w:val="22"/>
                <w:szCs w:val="22"/>
              </w:rPr>
            </w:pPr>
          </w:p>
        </w:tc>
        <w:tc>
          <w:tcPr>
            <w:tcW w:w="2975" w:type="dxa"/>
            <w:vMerge/>
            <w:vAlign w:val="center"/>
          </w:tcPr>
          <w:p w:rsidR="000E660C" w:rsidRDefault="000E660C">
            <w:pPr>
              <w:widowControl w:val="0"/>
              <w:pBdr>
                <w:top w:val="nil"/>
                <w:left w:val="nil"/>
                <w:bottom w:val="nil"/>
                <w:right w:val="nil"/>
                <w:between w:val="nil"/>
              </w:pBdr>
              <w:spacing w:line="276" w:lineRule="auto"/>
              <w:rPr>
                <w:rFonts w:ascii="Times New Roman" w:eastAsia="Times New Roman" w:hAnsi="Times New Roman" w:cs="Times New Roman"/>
                <w:color w:val="000000"/>
                <w:sz w:val="22"/>
                <w:szCs w:val="22"/>
              </w:rPr>
            </w:pPr>
          </w:p>
        </w:tc>
        <w:tc>
          <w:tcPr>
            <w:tcW w:w="1135" w:type="dxa"/>
            <w:vMerge/>
            <w:vAlign w:val="center"/>
          </w:tcPr>
          <w:p w:rsidR="000E660C" w:rsidRDefault="000E660C">
            <w:pPr>
              <w:widowControl w:val="0"/>
              <w:pBdr>
                <w:top w:val="nil"/>
                <w:left w:val="nil"/>
                <w:bottom w:val="nil"/>
                <w:right w:val="nil"/>
                <w:between w:val="nil"/>
              </w:pBdr>
              <w:spacing w:line="276" w:lineRule="auto"/>
              <w:rPr>
                <w:rFonts w:ascii="Times New Roman" w:eastAsia="Times New Roman" w:hAnsi="Times New Roman" w:cs="Times New Roman"/>
                <w:color w:val="000000"/>
                <w:sz w:val="22"/>
                <w:szCs w:val="22"/>
              </w:rPr>
            </w:pPr>
          </w:p>
        </w:tc>
        <w:tc>
          <w:tcPr>
            <w:tcW w:w="1983" w:type="dxa"/>
            <w:vMerge/>
            <w:vAlign w:val="center"/>
          </w:tcPr>
          <w:p w:rsidR="000E660C" w:rsidRDefault="000E660C">
            <w:pPr>
              <w:widowControl w:val="0"/>
              <w:pBdr>
                <w:top w:val="nil"/>
                <w:left w:val="nil"/>
                <w:bottom w:val="nil"/>
                <w:right w:val="nil"/>
                <w:between w:val="nil"/>
              </w:pBdr>
              <w:spacing w:line="276" w:lineRule="auto"/>
              <w:rPr>
                <w:rFonts w:ascii="Times New Roman" w:eastAsia="Times New Roman" w:hAnsi="Times New Roman" w:cs="Times New Roman"/>
                <w:color w:val="000000"/>
                <w:sz w:val="22"/>
                <w:szCs w:val="22"/>
              </w:rPr>
            </w:pPr>
          </w:p>
        </w:tc>
        <w:tc>
          <w:tcPr>
            <w:tcW w:w="567" w:type="dxa"/>
            <w:vAlign w:val="center"/>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так</w:t>
            </w:r>
          </w:p>
        </w:tc>
        <w:tc>
          <w:tcPr>
            <w:tcW w:w="429" w:type="dxa"/>
            <w:vAlign w:val="center"/>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ні</w:t>
            </w:r>
          </w:p>
        </w:tc>
        <w:tc>
          <w:tcPr>
            <w:tcW w:w="852" w:type="dxa"/>
            <w:gridSpan w:val="2"/>
            <w:tcMar>
              <w:left w:w="28" w:type="dxa"/>
              <w:right w:w="28" w:type="dxa"/>
            </w:tcMar>
            <w:vAlign w:val="center"/>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не розгля-далося</w:t>
            </w:r>
          </w:p>
        </w:tc>
        <w:tc>
          <w:tcPr>
            <w:tcW w:w="2268" w:type="dxa"/>
            <w:vMerge/>
            <w:vAlign w:val="center"/>
          </w:tcPr>
          <w:p w:rsidR="000E660C" w:rsidRDefault="000E660C">
            <w:pPr>
              <w:widowControl w:val="0"/>
              <w:pBdr>
                <w:top w:val="nil"/>
                <w:left w:val="nil"/>
                <w:bottom w:val="nil"/>
                <w:right w:val="nil"/>
                <w:between w:val="nil"/>
              </w:pBdr>
              <w:spacing w:line="276" w:lineRule="auto"/>
              <w:rPr>
                <w:rFonts w:ascii="Times New Roman" w:eastAsia="Times New Roman" w:hAnsi="Times New Roman" w:cs="Times New Roman"/>
                <w:color w:val="000000"/>
                <w:sz w:val="22"/>
                <w:szCs w:val="22"/>
              </w:rPr>
            </w:pPr>
          </w:p>
        </w:tc>
      </w:tr>
      <w:tr w:rsidR="000E660C">
        <w:trPr>
          <w:trHeight w:val="560"/>
        </w:trPr>
        <w:tc>
          <w:tcPr>
            <w:tcW w:w="10915" w:type="dxa"/>
            <w:gridSpan w:val="9"/>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6"/>
                <w:szCs w:val="6"/>
              </w:rPr>
            </w:pPr>
          </w:p>
          <w:p w:rsidR="000E660C" w:rsidRDefault="00BA164A">
            <w:pPr>
              <w:numPr>
                <w:ilvl w:val="0"/>
                <w:numId w:val="1"/>
              </w:numPr>
              <w:pBdr>
                <w:top w:val="nil"/>
                <w:left w:val="nil"/>
                <w:bottom w:val="nil"/>
                <w:right w:val="nil"/>
                <w:between w:val="nil"/>
              </w:pBdr>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Загальні вимого щодо провадження освітньої діяльності на рівні вищої освіти</w:t>
            </w:r>
          </w:p>
        </w:tc>
      </w:tr>
      <w:tr w:rsidR="000E660C">
        <w:trPr>
          <w:trHeight w:val="315"/>
        </w:trPr>
        <w:tc>
          <w:tcPr>
            <w:tcW w:w="706" w:type="dxa"/>
            <w:shd w:val="clear" w:color="auto" w:fill="auto"/>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w:t>
            </w:r>
          </w:p>
        </w:tc>
        <w:tc>
          <w:tcPr>
            <w:tcW w:w="2975" w:type="dxa"/>
            <w:shd w:val="clear" w:color="auto" w:fill="auto"/>
          </w:tcPr>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Основним видом економічної діяльності ліцензіата є освітня діяльність. </w:t>
            </w:r>
          </w:p>
        </w:tc>
        <w:tc>
          <w:tcPr>
            <w:tcW w:w="1135" w:type="dxa"/>
            <w:shd w:val="clear" w:color="auto" w:fill="auto"/>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shd w:val="clear" w:color="auto" w:fill="auto"/>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shd w:val="clear" w:color="auto" w:fill="auto"/>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shd w:val="clear" w:color="auto" w:fill="auto"/>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shd w:val="clear" w:color="auto" w:fill="auto"/>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shd w:val="clear" w:color="auto" w:fill="FFFFFF"/>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Пункт 5 </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Ліцензійних умов</w:t>
            </w:r>
          </w:p>
          <w:p w:rsidR="000E660C" w:rsidRDefault="000E660C">
            <w:pPr>
              <w:pBdr>
                <w:top w:val="nil"/>
                <w:left w:val="nil"/>
                <w:bottom w:val="nil"/>
                <w:right w:val="nil"/>
                <w:between w:val="nil"/>
              </w:pBdr>
              <w:rPr>
                <w:rFonts w:ascii="Times New Roman" w:eastAsia="Times New Roman" w:hAnsi="Times New Roman" w:cs="Times New Roman"/>
                <w:color w:val="000000"/>
                <w:sz w:val="22"/>
                <w:szCs w:val="22"/>
              </w:rPr>
            </w:pPr>
          </w:p>
        </w:tc>
      </w:tr>
      <w:tr w:rsidR="000E660C">
        <w:trPr>
          <w:trHeight w:val="315"/>
        </w:trPr>
        <w:tc>
          <w:tcPr>
            <w:tcW w:w="706" w:type="dxa"/>
            <w:shd w:val="clear" w:color="auto" w:fill="auto"/>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2</w:t>
            </w:r>
          </w:p>
        </w:tc>
        <w:tc>
          <w:tcPr>
            <w:tcW w:w="2975" w:type="dxa"/>
            <w:shd w:val="clear" w:color="auto" w:fill="auto"/>
          </w:tcPr>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Вимоги цих Ліцензійних умов стосуються кожного місця провадження освітньої діяльності, у тому числі місць провадження освітньої діяльності філій, структурних підрозділів та територіально відокремлених структурних підрозділів закладів освіти.</w:t>
            </w:r>
          </w:p>
        </w:tc>
        <w:tc>
          <w:tcPr>
            <w:tcW w:w="1135" w:type="dxa"/>
            <w:shd w:val="clear" w:color="auto" w:fill="auto"/>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shd w:val="clear" w:color="auto" w:fill="auto"/>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shd w:val="clear" w:color="auto" w:fill="auto"/>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shd w:val="clear" w:color="auto" w:fill="auto"/>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shd w:val="clear" w:color="auto" w:fill="auto"/>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shd w:val="clear" w:color="auto" w:fill="FFFFFF"/>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Під</w:t>
            </w:r>
            <w:r>
              <w:rPr>
                <w:rFonts w:ascii="Times New Roman" w:eastAsia="Times New Roman" w:hAnsi="Times New Roman" w:cs="Times New Roman"/>
                <w:color w:val="000000"/>
                <w:sz w:val="22"/>
                <w:szCs w:val="22"/>
              </w:rPr>
              <w:t>пункт 1</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пункту 6 </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Ліцензійних умов</w:t>
            </w:r>
          </w:p>
          <w:p w:rsidR="000E660C" w:rsidRDefault="000E660C">
            <w:pPr>
              <w:pBdr>
                <w:top w:val="nil"/>
                <w:left w:val="nil"/>
                <w:bottom w:val="nil"/>
                <w:right w:val="nil"/>
                <w:between w:val="nil"/>
              </w:pBdr>
              <w:rPr>
                <w:rFonts w:ascii="Times New Roman" w:eastAsia="Times New Roman" w:hAnsi="Times New Roman" w:cs="Times New Roman"/>
                <w:color w:val="000000"/>
                <w:sz w:val="22"/>
                <w:szCs w:val="22"/>
              </w:rPr>
            </w:pPr>
          </w:p>
        </w:tc>
      </w:tr>
      <w:tr w:rsidR="000E660C">
        <w:trPr>
          <w:trHeight w:val="315"/>
        </w:trPr>
        <w:tc>
          <w:tcPr>
            <w:tcW w:w="706" w:type="dxa"/>
            <w:shd w:val="clear" w:color="auto" w:fill="auto"/>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3</w:t>
            </w:r>
          </w:p>
        </w:tc>
        <w:tc>
          <w:tcPr>
            <w:tcW w:w="2975" w:type="dxa"/>
            <w:shd w:val="clear" w:color="auto" w:fill="auto"/>
          </w:tcPr>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У разі запровадження дистанційної форми навчання ліцензіат повинен додатково дотримуватися вимог до кадрового і навчально-методичного забезпечення дистанційної форми навчання, а також забезпечити створення і функціонування системи управління дистанційною ф</w:t>
            </w:r>
            <w:r>
              <w:rPr>
                <w:rFonts w:ascii="Times New Roman" w:eastAsia="Times New Roman" w:hAnsi="Times New Roman" w:cs="Times New Roman"/>
                <w:color w:val="000000"/>
                <w:sz w:val="22"/>
                <w:szCs w:val="22"/>
              </w:rPr>
              <w:t>ормою навчання та веб-ресурсами освітніх компонентів (навчальних дисциплін (освітніх програм).</w:t>
            </w:r>
          </w:p>
        </w:tc>
        <w:tc>
          <w:tcPr>
            <w:tcW w:w="1135" w:type="dxa"/>
            <w:shd w:val="clear" w:color="auto" w:fill="auto"/>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shd w:val="clear" w:color="auto" w:fill="auto"/>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shd w:val="clear" w:color="auto" w:fill="auto"/>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shd w:val="clear" w:color="auto" w:fill="auto"/>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shd w:val="clear" w:color="auto" w:fill="auto"/>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shd w:val="clear" w:color="auto" w:fill="FFFFFF"/>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Підпункт 2</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Пункту 5 </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Ліцензійних умов</w:t>
            </w:r>
          </w:p>
          <w:p w:rsidR="000E660C" w:rsidRDefault="000E660C">
            <w:pPr>
              <w:pBdr>
                <w:top w:val="nil"/>
                <w:left w:val="nil"/>
                <w:bottom w:val="nil"/>
                <w:right w:val="nil"/>
                <w:between w:val="nil"/>
              </w:pBdr>
              <w:rPr>
                <w:rFonts w:ascii="Times New Roman" w:eastAsia="Times New Roman" w:hAnsi="Times New Roman" w:cs="Times New Roman"/>
                <w:color w:val="000000"/>
                <w:sz w:val="22"/>
                <w:szCs w:val="22"/>
              </w:rPr>
            </w:pPr>
          </w:p>
        </w:tc>
      </w:tr>
      <w:tr w:rsidR="000E660C">
        <w:trPr>
          <w:trHeight w:val="315"/>
        </w:trPr>
        <w:tc>
          <w:tcPr>
            <w:tcW w:w="706" w:type="dxa"/>
            <w:shd w:val="clear" w:color="auto" w:fill="auto"/>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4</w:t>
            </w:r>
          </w:p>
        </w:tc>
        <w:tc>
          <w:tcPr>
            <w:tcW w:w="2975" w:type="dxa"/>
            <w:shd w:val="clear" w:color="auto" w:fill="auto"/>
          </w:tcPr>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провадить освітню діяльність на рівнях вищої, освіти в межах ліцензованого обсягу.</w:t>
            </w:r>
          </w:p>
        </w:tc>
        <w:tc>
          <w:tcPr>
            <w:tcW w:w="1135" w:type="dxa"/>
            <w:shd w:val="clear" w:color="auto" w:fill="auto"/>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shd w:val="clear" w:color="auto" w:fill="auto"/>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shd w:val="clear" w:color="auto" w:fill="auto"/>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shd w:val="clear" w:color="auto" w:fill="auto"/>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shd w:val="clear" w:color="auto" w:fill="auto"/>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shd w:val="clear" w:color="auto" w:fill="FFFFFF"/>
          </w:tcPr>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Пункт 7 </w:t>
            </w:r>
          </w:p>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Ліцензійних умов</w:t>
            </w:r>
          </w:p>
        </w:tc>
      </w:tr>
      <w:tr w:rsidR="000E660C">
        <w:trPr>
          <w:trHeight w:val="315"/>
        </w:trPr>
        <w:tc>
          <w:tcPr>
            <w:tcW w:w="706"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w:t>
            </w:r>
          </w:p>
        </w:tc>
        <w:tc>
          <w:tcPr>
            <w:tcW w:w="2975" w:type="dxa"/>
          </w:tcPr>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Ліцензіат використав  більше 25 відсотків ліцензованого обсягу протягом навчального </w:t>
            </w:r>
            <w:r>
              <w:rPr>
                <w:rFonts w:ascii="Times New Roman" w:eastAsia="Times New Roman" w:hAnsi="Times New Roman" w:cs="Times New Roman"/>
                <w:color w:val="000000"/>
                <w:sz w:val="22"/>
                <w:szCs w:val="22"/>
              </w:rPr>
              <w:lastRenderedPageBreak/>
              <w:t>року за певною спеціальністю.</w:t>
            </w:r>
          </w:p>
        </w:tc>
        <w:tc>
          <w:tcPr>
            <w:tcW w:w="1135"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другий</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пункту 11</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Ліцензійних умов</w:t>
            </w:r>
          </w:p>
          <w:p w:rsidR="000E660C" w:rsidRDefault="000E660C">
            <w:pPr>
              <w:pBdr>
                <w:top w:val="nil"/>
                <w:left w:val="nil"/>
                <w:bottom w:val="nil"/>
                <w:right w:val="nil"/>
                <w:between w:val="nil"/>
              </w:pBdr>
              <w:rPr>
                <w:rFonts w:ascii="Times New Roman" w:eastAsia="Times New Roman" w:hAnsi="Times New Roman" w:cs="Times New Roman"/>
                <w:color w:val="000000"/>
                <w:sz w:val="22"/>
                <w:szCs w:val="22"/>
              </w:rPr>
            </w:pPr>
          </w:p>
        </w:tc>
      </w:tr>
      <w:tr w:rsidR="000E660C">
        <w:trPr>
          <w:trHeight w:val="315"/>
        </w:trPr>
        <w:tc>
          <w:tcPr>
            <w:tcW w:w="706"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6</w:t>
            </w:r>
          </w:p>
        </w:tc>
        <w:tc>
          <w:tcPr>
            <w:tcW w:w="2975" w:type="dxa"/>
          </w:tcPr>
          <w:p w:rsidR="000E660C" w:rsidRPr="00175D7E"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sidRPr="00175D7E">
              <w:rPr>
                <w:rFonts w:ascii="Times New Roman" w:eastAsia="Times New Roman" w:hAnsi="Times New Roman" w:cs="Times New Roman"/>
                <w:color w:val="000000"/>
                <w:sz w:val="22"/>
                <w:szCs w:val="22"/>
              </w:rPr>
              <w:t>Ліцензіат має структурний підрозділ з роботи з іноземцями та особами без громадянства (до функцій якого, зокрема, належить надання інформаційних, методичних, консультативних та організаційних послуг; оформлення запрошень на навчання; організаційна робота щ</w:t>
            </w:r>
            <w:r w:rsidRPr="00175D7E">
              <w:rPr>
                <w:rFonts w:ascii="Times New Roman" w:eastAsia="Times New Roman" w:hAnsi="Times New Roman" w:cs="Times New Roman"/>
                <w:color w:val="000000"/>
                <w:sz w:val="22"/>
                <w:szCs w:val="22"/>
              </w:rPr>
              <w:t>одо оформлення посвідки на тимчасове проживання, реєстрації місця проживання та перебування іноземців та осіб без громадянства в Україні та в закладі освіти на законних підставах).</w:t>
            </w:r>
          </w:p>
        </w:tc>
        <w:tc>
          <w:tcPr>
            <w:tcW w:w="1135"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Абзац перший </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 13</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Ліцензійних умов</w:t>
            </w:r>
          </w:p>
          <w:p w:rsidR="000E660C" w:rsidRDefault="000E660C">
            <w:pPr>
              <w:pBdr>
                <w:top w:val="nil"/>
                <w:left w:val="nil"/>
                <w:bottom w:val="nil"/>
                <w:right w:val="nil"/>
                <w:between w:val="nil"/>
              </w:pBdr>
              <w:rPr>
                <w:rFonts w:ascii="Times New Roman" w:eastAsia="Times New Roman" w:hAnsi="Times New Roman" w:cs="Times New Roman"/>
                <w:color w:val="000000"/>
                <w:sz w:val="22"/>
                <w:szCs w:val="22"/>
              </w:rPr>
            </w:pPr>
          </w:p>
          <w:p w:rsidR="000E660C" w:rsidRDefault="000E660C">
            <w:pPr>
              <w:pBdr>
                <w:top w:val="nil"/>
                <w:left w:val="nil"/>
                <w:bottom w:val="nil"/>
                <w:right w:val="nil"/>
                <w:between w:val="nil"/>
              </w:pBdr>
              <w:rPr>
                <w:rFonts w:ascii="Times New Roman" w:eastAsia="Times New Roman" w:hAnsi="Times New Roman" w:cs="Times New Roman"/>
                <w:color w:val="000000"/>
                <w:sz w:val="22"/>
                <w:szCs w:val="22"/>
              </w:rPr>
            </w:pPr>
          </w:p>
        </w:tc>
      </w:tr>
      <w:tr w:rsidR="000E660C">
        <w:trPr>
          <w:trHeight w:val="315"/>
        </w:trPr>
        <w:tc>
          <w:tcPr>
            <w:tcW w:w="706"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w:t>
            </w:r>
          </w:p>
        </w:tc>
        <w:tc>
          <w:tcPr>
            <w:tcW w:w="2975" w:type="dxa"/>
          </w:tcPr>
          <w:p w:rsidR="000E660C" w:rsidRPr="00175D7E"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sidRPr="00175D7E">
              <w:rPr>
                <w:rFonts w:ascii="Times New Roman" w:eastAsia="Times New Roman" w:hAnsi="Times New Roman" w:cs="Times New Roman"/>
                <w:color w:val="000000"/>
                <w:sz w:val="22"/>
                <w:szCs w:val="22"/>
              </w:rPr>
              <w:t>Ліцензіат забезпечив проведення для іноземців та осіб без громадянства, які в’їжджають в Україну з метою навчання, тестових випробувань на знання ними української або англійської мови.</w:t>
            </w:r>
          </w:p>
        </w:tc>
        <w:tc>
          <w:tcPr>
            <w:tcW w:w="1135"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Абзац другий </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 13</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Ліцензійних умов</w:t>
            </w:r>
          </w:p>
          <w:p w:rsidR="000E660C" w:rsidRDefault="000E660C">
            <w:pPr>
              <w:pBdr>
                <w:top w:val="nil"/>
                <w:left w:val="nil"/>
                <w:bottom w:val="nil"/>
                <w:right w:val="nil"/>
                <w:between w:val="nil"/>
              </w:pBdr>
              <w:rPr>
                <w:rFonts w:ascii="Times New Roman" w:eastAsia="Times New Roman" w:hAnsi="Times New Roman" w:cs="Times New Roman"/>
                <w:color w:val="000000"/>
                <w:sz w:val="22"/>
                <w:szCs w:val="22"/>
              </w:rPr>
            </w:pPr>
          </w:p>
        </w:tc>
      </w:tr>
      <w:tr w:rsidR="000E660C">
        <w:trPr>
          <w:trHeight w:val="315"/>
        </w:trPr>
        <w:tc>
          <w:tcPr>
            <w:tcW w:w="706"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w:t>
            </w:r>
          </w:p>
        </w:tc>
        <w:tc>
          <w:tcPr>
            <w:tcW w:w="2975" w:type="dxa"/>
          </w:tcPr>
          <w:p w:rsidR="000E660C" w:rsidRPr="00175D7E"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sidRPr="00175D7E">
              <w:rPr>
                <w:rFonts w:ascii="Times New Roman" w:eastAsia="Times New Roman" w:hAnsi="Times New Roman" w:cs="Times New Roman"/>
                <w:color w:val="000000"/>
                <w:sz w:val="22"/>
                <w:szCs w:val="22"/>
              </w:rPr>
              <w:t>Ліцензіат забезпечив не менше 25 відсотків педагогічних, науково-педагогічних, наукових працівників, які забезпечують реалізацію освітніх компонентів, передбачених освітньою програмою, з підготовки іноземців та осіб без громадянства, іншою ніж державна мов</w:t>
            </w:r>
            <w:r w:rsidRPr="00175D7E">
              <w:rPr>
                <w:rFonts w:ascii="Times New Roman" w:eastAsia="Times New Roman" w:hAnsi="Times New Roman" w:cs="Times New Roman"/>
                <w:color w:val="000000"/>
                <w:sz w:val="22"/>
                <w:szCs w:val="22"/>
              </w:rPr>
              <w:t>а, повинні мати документ, що засвідчує володіння англійською мовою на рівні не нижче В2 відповідно до Загальноєвропейських рекомендацій з мовної освіти, або мати кваліфікаційні документи (документ про вищу освіту, науковий ступінь), що засвідчують кваліфік</w:t>
            </w:r>
            <w:r w:rsidRPr="00175D7E">
              <w:rPr>
                <w:rFonts w:ascii="Times New Roman" w:eastAsia="Times New Roman" w:hAnsi="Times New Roman" w:cs="Times New Roman"/>
                <w:color w:val="000000"/>
                <w:sz w:val="22"/>
                <w:szCs w:val="22"/>
              </w:rPr>
              <w:t xml:space="preserve">ацію з англійської мови (для вищих військових навчальних закладів та військових навчальних підрозділів закладів вищої освіти - на </w:t>
            </w:r>
            <w:r w:rsidRPr="00175D7E">
              <w:rPr>
                <w:rFonts w:ascii="Times New Roman" w:eastAsia="Times New Roman" w:hAnsi="Times New Roman" w:cs="Times New Roman"/>
                <w:color w:val="000000"/>
                <w:sz w:val="22"/>
                <w:szCs w:val="22"/>
              </w:rPr>
              <w:lastRenderedPageBreak/>
              <w:t>рівні не нижче CMP-2 за мовним стандартом НАТО - STANAG 6001).</w:t>
            </w:r>
          </w:p>
        </w:tc>
        <w:tc>
          <w:tcPr>
            <w:tcW w:w="1135"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Абзац третій </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 13</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Ліцензійних умов</w:t>
            </w:r>
          </w:p>
        </w:tc>
      </w:tr>
      <w:tr w:rsidR="000E660C">
        <w:trPr>
          <w:trHeight w:val="315"/>
        </w:trPr>
        <w:tc>
          <w:tcPr>
            <w:tcW w:w="10915" w:type="dxa"/>
            <w:gridSpan w:val="9"/>
          </w:tcPr>
          <w:p w:rsidR="000E660C" w:rsidRDefault="00BA164A">
            <w:pPr>
              <w:numPr>
                <w:ilvl w:val="0"/>
                <w:numId w:val="1"/>
              </w:num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b/>
                <w:i/>
                <w:color w:val="000000"/>
                <w:sz w:val="24"/>
                <w:szCs w:val="24"/>
              </w:rPr>
              <w:lastRenderedPageBreak/>
              <w:t>Організаційні вимоги щодо провадження освітньої діяльності</w:t>
            </w:r>
          </w:p>
        </w:tc>
      </w:tr>
      <w:tr w:rsidR="000E660C">
        <w:trPr>
          <w:trHeight w:val="315"/>
        </w:trPr>
        <w:tc>
          <w:tcPr>
            <w:tcW w:w="706"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w:t>
            </w:r>
          </w:p>
        </w:tc>
        <w:tc>
          <w:tcPr>
            <w:tcW w:w="2975" w:type="dxa"/>
          </w:tcPr>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забезпечив зберігання документів, а саме:</w:t>
            </w:r>
          </w:p>
        </w:tc>
        <w:tc>
          <w:tcPr>
            <w:tcW w:w="1135"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 16 Ліцензійних умов</w:t>
            </w:r>
          </w:p>
        </w:tc>
      </w:tr>
      <w:tr w:rsidR="000E660C">
        <w:trPr>
          <w:trHeight w:val="315"/>
        </w:trPr>
        <w:tc>
          <w:tcPr>
            <w:tcW w:w="706"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9.1</w:t>
            </w:r>
          </w:p>
        </w:tc>
        <w:tc>
          <w:tcPr>
            <w:tcW w:w="2975" w:type="dxa"/>
          </w:tcPr>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копії яких подавалися до органу ліцензування</w:t>
            </w:r>
          </w:p>
          <w:p w:rsidR="000E660C" w:rsidRDefault="000E660C">
            <w:pPr>
              <w:pBdr>
                <w:top w:val="nil"/>
                <w:left w:val="nil"/>
                <w:bottom w:val="nil"/>
                <w:right w:val="nil"/>
                <w:between w:val="nil"/>
              </w:pBdr>
              <w:jc w:val="both"/>
              <w:rPr>
                <w:rFonts w:ascii="Times New Roman" w:eastAsia="Times New Roman" w:hAnsi="Times New Roman" w:cs="Times New Roman"/>
                <w:color w:val="000000"/>
                <w:sz w:val="22"/>
                <w:szCs w:val="22"/>
              </w:rPr>
            </w:pPr>
          </w:p>
        </w:tc>
        <w:tc>
          <w:tcPr>
            <w:tcW w:w="1135"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перший пункту 16 Ліцензійних умов</w:t>
            </w:r>
          </w:p>
        </w:tc>
      </w:tr>
      <w:tr w:rsidR="000E660C">
        <w:trPr>
          <w:trHeight w:val="1653"/>
        </w:trPr>
        <w:tc>
          <w:tcPr>
            <w:tcW w:w="706"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9.2</w:t>
            </w:r>
          </w:p>
        </w:tc>
        <w:tc>
          <w:tcPr>
            <w:tcW w:w="2975" w:type="dxa"/>
          </w:tcPr>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документи які підтверджують достовірність даних, що зазначалися здобувачем ліцензії (ліцензіатом) у документах, які подавалися органу ліцензування</w:t>
            </w:r>
          </w:p>
        </w:tc>
        <w:tc>
          <w:tcPr>
            <w:tcW w:w="1135"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другий</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 16 Ліцензійних умов</w:t>
            </w:r>
          </w:p>
        </w:tc>
      </w:tr>
      <w:tr w:rsidR="000E660C">
        <w:trPr>
          <w:trHeight w:val="1044"/>
        </w:trPr>
        <w:tc>
          <w:tcPr>
            <w:tcW w:w="706"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9.3</w:t>
            </w:r>
          </w:p>
        </w:tc>
        <w:tc>
          <w:tcPr>
            <w:tcW w:w="2975" w:type="dxa"/>
          </w:tcPr>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документи які підтверджують здійснення оплати за видачу ліцензії.</w:t>
            </w:r>
          </w:p>
        </w:tc>
        <w:tc>
          <w:tcPr>
            <w:tcW w:w="1135"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Абзац третій пункту 16 Ліцензійних умов</w:t>
            </w:r>
          </w:p>
          <w:p w:rsidR="000E660C" w:rsidRDefault="000E660C">
            <w:pPr>
              <w:pBdr>
                <w:top w:val="nil"/>
                <w:left w:val="nil"/>
                <w:bottom w:val="nil"/>
                <w:right w:val="nil"/>
                <w:between w:val="nil"/>
              </w:pBdr>
              <w:rPr>
                <w:rFonts w:ascii="Times New Roman" w:eastAsia="Times New Roman" w:hAnsi="Times New Roman" w:cs="Times New Roman"/>
                <w:color w:val="000000"/>
                <w:sz w:val="22"/>
                <w:szCs w:val="22"/>
              </w:rPr>
            </w:pPr>
          </w:p>
        </w:tc>
      </w:tr>
      <w:tr w:rsidR="000E660C">
        <w:trPr>
          <w:trHeight w:val="193"/>
        </w:trPr>
        <w:tc>
          <w:tcPr>
            <w:tcW w:w="706"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10</w:t>
            </w:r>
          </w:p>
        </w:tc>
        <w:tc>
          <w:tcPr>
            <w:tcW w:w="2975" w:type="dxa"/>
          </w:tcPr>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забезпечив провадження освітньої діяльності виключно в місцях її провадження, зазначених у документах, поданих органу ліцензування, крім провадження освітньої діяльності за місцем проживання дитини на рівні дошкільної освіти та у сфері позашкільн</w:t>
            </w:r>
            <w:r>
              <w:rPr>
                <w:rFonts w:ascii="Times New Roman" w:eastAsia="Times New Roman" w:hAnsi="Times New Roman" w:cs="Times New Roman"/>
                <w:color w:val="000000"/>
                <w:sz w:val="22"/>
                <w:szCs w:val="22"/>
              </w:rPr>
              <w:t>ої освіти, провадження освітньої діяльності за місцем, наданим замовником для отримання короткострокових освітніх послуг у сфері позашкільної освіти (семінару, лекції, тренінгу, вебінару тощо), крім провадження освітньої діяльності з підвищення кваліфікаці</w:t>
            </w:r>
            <w:r>
              <w:rPr>
                <w:rFonts w:ascii="Times New Roman" w:eastAsia="Times New Roman" w:hAnsi="Times New Roman" w:cs="Times New Roman"/>
                <w:color w:val="000000"/>
                <w:sz w:val="22"/>
                <w:szCs w:val="22"/>
              </w:rPr>
              <w:t>ї працівника за місцем його роботи у сфері післядипломної освіти.</w:t>
            </w:r>
          </w:p>
        </w:tc>
        <w:tc>
          <w:tcPr>
            <w:tcW w:w="1135"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 17</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0E660C">
        <w:trPr>
          <w:trHeight w:val="1306"/>
        </w:trPr>
        <w:tc>
          <w:tcPr>
            <w:tcW w:w="706" w:type="dxa"/>
            <w:tcBorders>
              <w:top w:val="single" w:sz="4" w:space="0" w:color="000000"/>
              <w:left w:val="single" w:sz="4" w:space="0" w:color="000000"/>
              <w:bottom w:val="single" w:sz="4" w:space="0" w:color="000000"/>
              <w:right w:val="single" w:sz="4" w:space="0" w:color="000000"/>
            </w:tcBorders>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11</w:t>
            </w:r>
          </w:p>
        </w:tc>
        <w:tc>
          <w:tcPr>
            <w:tcW w:w="2975" w:type="dxa"/>
            <w:tcBorders>
              <w:top w:val="single" w:sz="4" w:space="0" w:color="000000"/>
              <w:left w:val="single" w:sz="4" w:space="0" w:color="000000"/>
              <w:bottom w:val="single" w:sz="4" w:space="0" w:color="000000"/>
              <w:right w:val="single" w:sz="4" w:space="0" w:color="000000"/>
            </w:tcBorders>
          </w:tcPr>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забезпечив повідомлення органу ліцензування про зміну даних, зазначених у документах, що додавалися до заяви, протягом тридцяти календарних днів з дня настання таких змін.</w:t>
            </w:r>
          </w:p>
        </w:tc>
        <w:tc>
          <w:tcPr>
            <w:tcW w:w="1135" w:type="dxa"/>
            <w:tcBorders>
              <w:top w:val="single" w:sz="4" w:space="0" w:color="000000"/>
              <w:left w:val="single" w:sz="4" w:space="0" w:color="000000"/>
              <w:bottom w:val="single" w:sz="4" w:space="0" w:color="000000"/>
              <w:right w:val="single" w:sz="4" w:space="0" w:color="000000"/>
            </w:tcBorders>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Borders>
              <w:top w:val="single" w:sz="4" w:space="0" w:color="000000"/>
              <w:left w:val="single" w:sz="4" w:space="0" w:color="000000"/>
              <w:bottom w:val="single" w:sz="4" w:space="0" w:color="000000"/>
              <w:right w:val="single" w:sz="4" w:space="0" w:color="000000"/>
            </w:tcBorders>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tcBorders>
              <w:top w:val="single" w:sz="4" w:space="0" w:color="000000"/>
              <w:left w:val="single" w:sz="4" w:space="0" w:color="000000"/>
              <w:bottom w:val="single" w:sz="4" w:space="0" w:color="000000"/>
              <w:right w:val="single" w:sz="4" w:space="0" w:color="000000"/>
            </w:tcBorders>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tcBorders>
              <w:top w:val="single" w:sz="4" w:space="0" w:color="000000"/>
              <w:left w:val="single" w:sz="4" w:space="0" w:color="000000"/>
              <w:bottom w:val="single" w:sz="4" w:space="0" w:color="000000"/>
              <w:right w:val="single" w:sz="4" w:space="0" w:color="000000"/>
            </w:tcBorders>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Borders>
              <w:top w:val="single" w:sz="4" w:space="0" w:color="000000"/>
              <w:left w:val="single" w:sz="4" w:space="0" w:color="000000"/>
              <w:bottom w:val="single" w:sz="4" w:space="0" w:color="000000"/>
              <w:right w:val="single" w:sz="4" w:space="0" w:color="000000"/>
            </w:tcBorders>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Абзац перший</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пункту 18</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Ліцензійних умов</w:t>
            </w:r>
          </w:p>
        </w:tc>
      </w:tr>
      <w:tr w:rsidR="000E660C">
        <w:trPr>
          <w:trHeight w:val="315"/>
        </w:trPr>
        <w:tc>
          <w:tcPr>
            <w:tcW w:w="706"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w:t>
            </w:r>
            <w:r>
              <w:rPr>
                <w:rFonts w:ascii="Times New Roman" w:eastAsia="Times New Roman" w:hAnsi="Times New Roman" w:cs="Times New Roman"/>
                <w:sz w:val="22"/>
                <w:szCs w:val="22"/>
              </w:rPr>
              <w:t>2</w:t>
            </w:r>
          </w:p>
        </w:tc>
        <w:tc>
          <w:tcPr>
            <w:tcW w:w="2975" w:type="dxa"/>
          </w:tcPr>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Ліцензіат забезпечив внесення даних які </w:t>
            </w:r>
            <w:r>
              <w:rPr>
                <w:rFonts w:ascii="Times New Roman" w:eastAsia="Times New Roman" w:hAnsi="Times New Roman" w:cs="Times New Roman"/>
                <w:color w:val="000000"/>
                <w:sz w:val="22"/>
                <w:szCs w:val="22"/>
              </w:rPr>
              <w:lastRenderedPageBreak/>
              <w:t>стосуються зміни (нового) місця провадження освітньої діяльності.</w:t>
            </w:r>
          </w:p>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протягом семи робочих днів від дня настання таких змін подає органу ліцензування заяву про внесення змін до ліцензії на провадження освітньо</w:t>
            </w:r>
            <w:r>
              <w:rPr>
                <w:rFonts w:ascii="Times New Roman" w:eastAsia="Times New Roman" w:hAnsi="Times New Roman" w:cs="Times New Roman"/>
                <w:color w:val="000000"/>
                <w:sz w:val="22"/>
                <w:szCs w:val="22"/>
              </w:rPr>
              <w:t>ї діяльності у зв’язку із зміною місця провадження згідно з додатком 13 та копії документів, оформлених відповідно до вимог законодавства, що підтверджують право власності чи користування майном для провадження освітньої діяльності, та забезпечення безпере</w:t>
            </w:r>
            <w:r>
              <w:rPr>
                <w:rFonts w:ascii="Times New Roman" w:eastAsia="Times New Roman" w:hAnsi="Times New Roman" w:cs="Times New Roman"/>
                <w:color w:val="000000"/>
                <w:sz w:val="22"/>
                <w:szCs w:val="22"/>
              </w:rPr>
              <w:t>шкодного доступу до будівель, приміщень закладу освіти осіб з інвалідністю та інших маломобільних груп населення.</w:t>
            </w:r>
          </w:p>
        </w:tc>
        <w:tc>
          <w:tcPr>
            <w:tcW w:w="1135"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Н</w:t>
            </w:r>
          </w:p>
        </w:tc>
        <w:tc>
          <w:tcPr>
            <w:tcW w:w="1983" w:type="dxa"/>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Абзац другий</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пункту 18</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lastRenderedPageBreak/>
              <w:t>Ліцензійних умов</w:t>
            </w:r>
          </w:p>
        </w:tc>
      </w:tr>
      <w:tr w:rsidR="000E660C">
        <w:trPr>
          <w:trHeight w:val="802"/>
        </w:trPr>
        <w:tc>
          <w:tcPr>
            <w:tcW w:w="706"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1</w:t>
            </w:r>
            <w:r>
              <w:rPr>
                <w:rFonts w:ascii="Times New Roman" w:eastAsia="Times New Roman" w:hAnsi="Times New Roman" w:cs="Times New Roman"/>
                <w:sz w:val="22"/>
                <w:szCs w:val="22"/>
              </w:rPr>
              <w:t>3</w:t>
            </w:r>
          </w:p>
        </w:tc>
        <w:tc>
          <w:tcPr>
            <w:tcW w:w="2975" w:type="dxa"/>
          </w:tcPr>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забезпечив присутність керівника або іншої уповноваженої посадової особи під час проведення органом ліцензування перевірки дотримання ліцензіатом вимог цих Ліцензійних умов.</w:t>
            </w:r>
          </w:p>
        </w:tc>
        <w:tc>
          <w:tcPr>
            <w:tcW w:w="1135"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Пункт 19</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Ліцензійних умов</w:t>
            </w:r>
          </w:p>
        </w:tc>
      </w:tr>
      <w:tr w:rsidR="000E660C">
        <w:trPr>
          <w:trHeight w:val="4428"/>
        </w:trPr>
        <w:tc>
          <w:tcPr>
            <w:tcW w:w="706"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w:t>
            </w:r>
            <w:r>
              <w:rPr>
                <w:rFonts w:ascii="Times New Roman" w:eastAsia="Times New Roman" w:hAnsi="Times New Roman" w:cs="Times New Roman"/>
                <w:sz w:val="22"/>
                <w:szCs w:val="22"/>
              </w:rPr>
              <w:t>4</w:t>
            </w:r>
          </w:p>
        </w:tc>
        <w:tc>
          <w:tcPr>
            <w:tcW w:w="2975" w:type="dxa"/>
          </w:tcPr>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Ліцензіат розробив та протягом місяця з моменту початку провадження освітньої діяльності подав органу ліцензування порядок дій у разі позапланового припинення провадження ним освітньої діяльності загалом, за певним рівнем освіти або у певній сфері освіти, </w:t>
            </w:r>
            <w:r>
              <w:rPr>
                <w:rFonts w:ascii="Times New Roman" w:eastAsia="Times New Roman" w:hAnsi="Times New Roman" w:cs="Times New Roman"/>
                <w:color w:val="000000"/>
                <w:sz w:val="22"/>
                <w:szCs w:val="22"/>
              </w:rPr>
              <w:t>або за певними місцями її провадження (у зв’язку з неможливістю використання матеріально-технічної бази, виникненням форс-мажорних обставин тощо) та порядок відновлення провадження такої діяльності.</w:t>
            </w:r>
          </w:p>
        </w:tc>
        <w:tc>
          <w:tcPr>
            <w:tcW w:w="1135"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Пункт 20</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Ліцензійних умов</w:t>
            </w:r>
          </w:p>
        </w:tc>
      </w:tr>
      <w:tr w:rsidR="000E660C">
        <w:trPr>
          <w:trHeight w:val="315"/>
        </w:trPr>
        <w:tc>
          <w:tcPr>
            <w:tcW w:w="706"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w:t>
            </w:r>
            <w:r>
              <w:rPr>
                <w:rFonts w:ascii="Times New Roman" w:eastAsia="Times New Roman" w:hAnsi="Times New Roman" w:cs="Times New Roman"/>
                <w:sz w:val="22"/>
                <w:szCs w:val="22"/>
              </w:rPr>
              <w:t>5</w:t>
            </w:r>
          </w:p>
        </w:tc>
        <w:tc>
          <w:tcPr>
            <w:tcW w:w="2975" w:type="dxa"/>
          </w:tcPr>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Ліцензіат, що провадить освітню діяльність, повідомив орган ліцензування про планове або позапланове припинення </w:t>
            </w:r>
            <w:r>
              <w:rPr>
                <w:rFonts w:ascii="Times New Roman" w:eastAsia="Times New Roman" w:hAnsi="Times New Roman" w:cs="Times New Roman"/>
                <w:color w:val="000000"/>
                <w:sz w:val="22"/>
                <w:szCs w:val="22"/>
              </w:rPr>
              <w:lastRenderedPageBreak/>
              <w:t>провадження освітньої діяльності загалом, за певним рівнем освіти або у певній сфері освіти, або за певними місцями її провадження протягом п’ят</w:t>
            </w:r>
            <w:r>
              <w:rPr>
                <w:rFonts w:ascii="Times New Roman" w:eastAsia="Times New Roman" w:hAnsi="Times New Roman" w:cs="Times New Roman"/>
                <w:color w:val="000000"/>
                <w:sz w:val="22"/>
                <w:szCs w:val="22"/>
              </w:rPr>
              <w:t>и робочих днів з моменту прийняття відповідного рішення, а також про заходи, що вживатимуться ним для забезпечення продовження навчання здобувачів освіти.</w:t>
            </w:r>
          </w:p>
        </w:tc>
        <w:tc>
          <w:tcPr>
            <w:tcW w:w="1135"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Пункт 21</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Ліцензійних умов</w:t>
            </w:r>
          </w:p>
        </w:tc>
      </w:tr>
      <w:tr w:rsidR="000E660C">
        <w:trPr>
          <w:trHeight w:val="2829"/>
        </w:trPr>
        <w:tc>
          <w:tcPr>
            <w:tcW w:w="706"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1</w:t>
            </w:r>
            <w:r>
              <w:rPr>
                <w:rFonts w:ascii="Times New Roman" w:eastAsia="Times New Roman" w:hAnsi="Times New Roman" w:cs="Times New Roman"/>
                <w:sz w:val="22"/>
                <w:szCs w:val="22"/>
              </w:rPr>
              <w:t>6</w:t>
            </w:r>
          </w:p>
        </w:tc>
        <w:tc>
          <w:tcPr>
            <w:tcW w:w="2975" w:type="dxa"/>
          </w:tcPr>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відповідає вимогам Ліцензійних умов щодо започаткування провадження освітньої діяльності на відповідному рівні освіти або у сфері освіти, а ліцензіат зобов’язаний виконувати вимоги Ліцензійних умов щодо започаткування та провадження освітньої дія</w:t>
            </w:r>
            <w:r>
              <w:rPr>
                <w:rFonts w:ascii="Times New Roman" w:eastAsia="Times New Roman" w:hAnsi="Times New Roman" w:cs="Times New Roman"/>
                <w:color w:val="000000"/>
                <w:sz w:val="22"/>
                <w:szCs w:val="22"/>
              </w:rPr>
              <w:t>льності на певному (певних) рівні (рівнях) або у сфері (сферах) освіти в кожному місці провадження освітньої діяльності.</w:t>
            </w:r>
          </w:p>
        </w:tc>
        <w:tc>
          <w:tcPr>
            <w:tcW w:w="1135"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Н </w:t>
            </w:r>
          </w:p>
        </w:tc>
        <w:tc>
          <w:tcPr>
            <w:tcW w:w="1983" w:type="dxa"/>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 22</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0E660C">
        <w:trPr>
          <w:trHeight w:val="1593"/>
        </w:trPr>
        <w:tc>
          <w:tcPr>
            <w:tcW w:w="706"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w:t>
            </w:r>
            <w:r>
              <w:rPr>
                <w:rFonts w:ascii="Times New Roman" w:eastAsia="Times New Roman" w:hAnsi="Times New Roman" w:cs="Times New Roman"/>
                <w:sz w:val="22"/>
                <w:szCs w:val="22"/>
              </w:rPr>
              <w:t>7</w:t>
            </w:r>
          </w:p>
        </w:tc>
        <w:tc>
          <w:tcPr>
            <w:tcW w:w="2975" w:type="dxa"/>
          </w:tcPr>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Всі особи, залучені ліцензіатом до провадження освітньої діяльності, діють за відповідними трудовими договорами (угодами).</w:t>
            </w:r>
          </w:p>
        </w:tc>
        <w:tc>
          <w:tcPr>
            <w:tcW w:w="1135"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перший</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 23</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0E660C">
        <w:trPr>
          <w:trHeight w:val="1593"/>
        </w:trPr>
        <w:tc>
          <w:tcPr>
            <w:tcW w:w="706"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18</w:t>
            </w:r>
          </w:p>
        </w:tc>
        <w:tc>
          <w:tcPr>
            <w:tcW w:w="2975" w:type="dxa"/>
          </w:tcPr>
          <w:p w:rsidR="000E660C" w:rsidRPr="00175D7E"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sidRPr="00175D7E">
              <w:rPr>
                <w:rFonts w:ascii="Times New Roman" w:eastAsia="Times New Roman" w:hAnsi="Times New Roman" w:cs="Times New Roman"/>
                <w:color w:val="000000"/>
                <w:sz w:val="22"/>
                <w:szCs w:val="22"/>
              </w:rPr>
              <w:t xml:space="preserve">Ліцензіат забезпечив наявність трудових договорів (контрактів) у письмовій формі з усіма керівниками, педагогічними. </w:t>
            </w:r>
            <w:r w:rsidRPr="00175D7E">
              <w:rPr>
                <w:rFonts w:ascii="Times New Roman" w:eastAsia="Times New Roman" w:hAnsi="Times New Roman" w:cs="Times New Roman"/>
                <w:sz w:val="22"/>
                <w:szCs w:val="22"/>
              </w:rPr>
              <w:t>Л</w:t>
            </w:r>
            <w:r w:rsidRPr="00175D7E">
              <w:rPr>
                <w:rFonts w:ascii="Times New Roman" w:eastAsia="Times New Roman" w:hAnsi="Times New Roman" w:cs="Times New Roman"/>
                <w:color w:val="000000"/>
                <w:sz w:val="22"/>
                <w:szCs w:val="22"/>
              </w:rPr>
              <w:t>іцензі</w:t>
            </w:r>
            <w:r w:rsidRPr="00175D7E">
              <w:rPr>
                <w:rFonts w:ascii="Times New Roman" w:eastAsia="Times New Roman" w:hAnsi="Times New Roman" w:cs="Times New Roman"/>
                <w:sz w:val="22"/>
                <w:szCs w:val="22"/>
              </w:rPr>
              <w:t>ат</w:t>
            </w:r>
            <w:r w:rsidRPr="00175D7E">
              <w:rPr>
                <w:rFonts w:ascii="Times New Roman" w:eastAsia="Times New Roman" w:hAnsi="Times New Roman" w:cs="Times New Roman"/>
                <w:color w:val="000000"/>
                <w:sz w:val="22"/>
                <w:szCs w:val="22"/>
              </w:rPr>
              <w:t xml:space="preserve"> забезпечує наявність трудового договору (контракту) з керівником закладу освіти або з особою, що виконує обов’язки керівника закладу освіти (керівником або з особою, що виконує обов’язки керівника відокремленого структурного підрозділу, що провадить освіт</w:t>
            </w:r>
            <w:r w:rsidRPr="00175D7E">
              <w:rPr>
                <w:rFonts w:ascii="Times New Roman" w:eastAsia="Times New Roman" w:hAnsi="Times New Roman" w:cs="Times New Roman"/>
                <w:color w:val="000000"/>
                <w:sz w:val="22"/>
                <w:szCs w:val="22"/>
              </w:rPr>
              <w:t>ню діяльність, іншої юридичної особи; особою, найнятою (</w:t>
            </w:r>
            <w:r w:rsidRPr="00175D7E">
              <w:rPr>
                <w:rFonts w:ascii="Times New Roman" w:eastAsia="Times New Roman" w:hAnsi="Times New Roman" w:cs="Times New Roman"/>
                <w:color w:val="000000"/>
                <w:sz w:val="22"/>
                <w:szCs w:val="22"/>
              </w:rPr>
              <w:t xml:space="preserve">за потреби) фізичною особою - підприємцем для виконання обов’язків </w:t>
            </w:r>
            <w:r w:rsidRPr="00175D7E">
              <w:rPr>
                <w:rFonts w:ascii="Times New Roman" w:eastAsia="Times New Roman" w:hAnsi="Times New Roman" w:cs="Times New Roman"/>
                <w:color w:val="000000"/>
                <w:sz w:val="22"/>
                <w:szCs w:val="22"/>
              </w:rPr>
              <w:t>керівника) (крім професійного (професійно-</w:t>
            </w:r>
            <w:r w:rsidRPr="00175D7E">
              <w:rPr>
                <w:rFonts w:ascii="Times New Roman" w:eastAsia="Times New Roman" w:hAnsi="Times New Roman" w:cs="Times New Roman"/>
                <w:color w:val="000000"/>
                <w:sz w:val="22"/>
                <w:szCs w:val="22"/>
              </w:rPr>
              <w:lastRenderedPageBreak/>
              <w:t>технічного) навчання на виробництві).</w:t>
            </w:r>
          </w:p>
        </w:tc>
        <w:tc>
          <w:tcPr>
            <w:tcW w:w="1135"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другий</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 23</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0E660C">
        <w:trPr>
          <w:trHeight w:val="1593"/>
        </w:trPr>
        <w:tc>
          <w:tcPr>
            <w:tcW w:w="706"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lastRenderedPageBreak/>
              <w:t>19</w:t>
            </w:r>
          </w:p>
        </w:tc>
        <w:tc>
          <w:tcPr>
            <w:tcW w:w="2975" w:type="dxa"/>
          </w:tcPr>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У разі заміщення посад науково-педагогічних працівників, які підвищують кваліфікацію або проходять стажування з відривом від виробництва, реалізують право на академічну мобільність для провадження професійної діяльності відповідно до укладеного договору пр</w:t>
            </w:r>
            <w:r>
              <w:rPr>
                <w:rFonts w:ascii="Times New Roman" w:eastAsia="Times New Roman" w:hAnsi="Times New Roman" w:cs="Times New Roman"/>
                <w:color w:val="000000"/>
                <w:sz w:val="22"/>
                <w:szCs w:val="22"/>
              </w:rPr>
              <w:t>о участь у програмі академічної мобільності, проходять військову службу за призовом та/або під час мобілізації, або перебувають у соціальній відпустці, та у разі неможливості забезпечення освітнього процесу наявними штатними працівниками, вакантні посади н</w:t>
            </w:r>
            <w:r>
              <w:rPr>
                <w:rFonts w:ascii="Times New Roman" w:eastAsia="Times New Roman" w:hAnsi="Times New Roman" w:cs="Times New Roman"/>
                <w:color w:val="000000"/>
                <w:sz w:val="22"/>
                <w:szCs w:val="22"/>
              </w:rPr>
              <w:t>ауково-педагогічних працівників можуть заміщуватися за трудовим договором до проведення конкурсного заміщення цих посад у поточному навчальному році.</w:t>
            </w:r>
          </w:p>
        </w:tc>
        <w:tc>
          <w:tcPr>
            <w:tcW w:w="1135"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четвертий</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 23</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0E660C">
        <w:trPr>
          <w:trHeight w:val="1593"/>
        </w:trPr>
        <w:tc>
          <w:tcPr>
            <w:tcW w:w="706"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20</w:t>
            </w:r>
          </w:p>
        </w:tc>
        <w:tc>
          <w:tcPr>
            <w:tcW w:w="2975" w:type="dxa"/>
          </w:tcPr>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забезпечив доступність навчальних приміщень для осіб з інвалідністю та інших маломобільних груп населення, зокрема безперешкодний доступ до будівлі, навчальних класів (груп) та іншої інфраструктури відповідно до державних будівельних норм, правил</w:t>
            </w:r>
            <w:r>
              <w:rPr>
                <w:rFonts w:ascii="Times New Roman" w:eastAsia="Times New Roman" w:hAnsi="Times New Roman" w:cs="Times New Roman"/>
                <w:color w:val="000000"/>
                <w:sz w:val="22"/>
                <w:szCs w:val="22"/>
              </w:rPr>
              <w:t xml:space="preserve"> і стандартів (крім будівель, існуюча об’ємно-планувальна схема яких не розрахована на здійснення заходів щодо інклюзивності), що повинно бути документально підтверджено фахівцем з питань технічного обстеження будівель та споруд, який має </w:t>
            </w:r>
            <w:r>
              <w:rPr>
                <w:rFonts w:ascii="Times New Roman" w:eastAsia="Times New Roman" w:hAnsi="Times New Roman" w:cs="Times New Roman"/>
                <w:color w:val="000000"/>
                <w:sz w:val="22"/>
                <w:szCs w:val="22"/>
              </w:rPr>
              <w:lastRenderedPageBreak/>
              <w:t>кваліфікаційний с</w:t>
            </w:r>
            <w:r>
              <w:rPr>
                <w:rFonts w:ascii="Times New Roman" w:eastAsia="Times New Roman" w:hAnsi="Times New Roman" w:cs="Times New Roman"/>
                <w:color w:val="000000"/>
                <w:sz w:val="22"/>
                <w:szCs w:val="22"/>
              </w:rPr>
              <w:t>ертифікат, або відповідною установою, уповноваженою на проведення зазначених обстежень.</w:t>
            </w:r>
          </w:p>
        </w:tc>
        <w:tc>
          <w:tcPr>
            <w:tcW w:w="1135"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 25</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0E660C">
        <w:trPr>
          <w:trHeight w:val="1593"/>
        </w:trPr>
        <w:tc>
          <w:tcPr>
            <w:tcW w:w="706"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lastRenderedPageBreak/>
              <w:t>21</w:t>
            </w:r>
          </w:p>
        </w:tc>
        <w:tc>
          <w:tcPr>
            <w:tcW w:w="2975" w:type="dxa"/>
          </w:tcPr>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Медичне обслуговування, організація харчування та прання, ведення бухгалтерського обліку і діловодства, інші додаткові для здійснення освітнього процесу види діяльності ліцензіата, передбачені законодавством, забезпечені та здійснюватися шляхом залучення л</w:t>
            </w:r>
            <w:r>
              <w:rPr>
                <w:rFonts w:ascii="Times New Roman" w:eastAsia="Times New Roman" w:hAnsi="Times New Roman" w:cs="Times New Roman"/>
                <w:color w:val="000000"/>
                <w:sz w:val="22"/>
                <w:szCs w:val="22"/>
              </w:rPr>
              <w:t>іцензіатом на договірних умовах інших суб’єктів господарювання, що мають право надавати відповідні послуги.</w:t>
            </w:r>
          </w:p>
        </w:tc>
        <w:tc>
          <w:tcPr>
            <w:tcW w:w="1135"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 26</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0E660C">
        <w:trPr>
          <w:trHeight w:val="1593"/>
        </w:trPr>
        <w:tc>
          <w:tcPr>
            <w:tcW w:w="706"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22</w:t>
            </w:r>
          </w:p>
        </w:tc>
        <w:tc>
          <w:tcPr>
            <w:tcW w:w="2975" w:type="dxa"/>
          </w:tcPr>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Здобувачі професійної (професійно-технічної), фахової передвищої та вищої освіти, які цього потребують, забезпечені гуртожитком (крім навчання на виробництві).</w:t>
            </w:r>
          </w:p>
        </w:tc>
        <w:tc>
          <w:tcPr>
            <w:tcW w:w="1135"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 27</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0E660C">
        <w:trPr>
          <w:trHeight w:val="1593"/>
        </w:trPr>
        <w:tc>
          <w:tcPr>
            <w:tcW w:w="706"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23</w:t>
            </w:r>
          </w:p>
        </w:tc>
        <w:tc>
          <w:tcPr>
            <w:tcW w:w="2975" w:type="dxa"/>
          </w:tcPr>
          <w:p w:rsidR="000E660C" w:rsidRDefault="00BA164A">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забезпечив за місцем провадження освітньої діяльності доступ учасників освітнього процесу до Інтернету в номінальній швидкості для виконання затвердженої (затверджених) освітньої (освітніх) програми (програм), включаючи самостійну роботу здобувач</w:t>
            </w:r>
            <w:r>
              <w:rPr>
                <w:rFonts w:ascii="Times New Roman" w:eastAsia="Times New Roman" w:hAnsi="Times New Roman" w:cs="Times New Roman"/>
                <w:color w:val="000000"/>
                <w:sz w:val="22"/>
                <w:szCs w:val="22"/>
              </w:rPr>
              <w:t>ів освіти, педагогічних та науково-педагогічних працівників.</w:t>
            </w:r>
          </w:p>
        </w:tc>
        <w:tc>
          <w:tcPr>
            <w:tcW w:w="1135" w:type="dxa"/>
          </w:tcPr>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0E660C" w:rsidRDefault="00BA164A">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0E660C" w:rsidRDefault="000E660C">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 28</w:t>
            </w:r>
          </w:p>
          <w:p w:rsidR="000E660C" w:rsidRDefault="00BA164A">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175D7E">
        <w:trPr>
          <w:trHeight w:val="4162"/>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lastRenderedPageBreak/>
              <w:t>24</w:t>
            </w:r>
          </w:p>
        </w:tc>
        <w:tc>
          <w:tcPr>
            <w:tcW w:w="2975" w:type="dxa"/>
          </w:tcPr>
          <w:p w:rsid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(крім фізичних осіб - підприємців, які не використовують найманої праці, та професійного (професійно-технічного) навчання на виробництві) забезпечив на своїх веб-сайтах (у разі їх відсутності - на веб-сайтах своїх засновників) відкритий доступ до інформації та документів, передбачених </w:t>
            </w:r>
            <w:hyperlink r:id="rId8">
              <w:r>
                <w:rPr>
                  <w:rFonts w:ascii="Times New Roman" w:eastAsia="Times New Roman" w:hAnsi="Times New Roman" w:cs="Times New Roman"/>
                  <w:color w:val="000000"/>
                  <w:sz w:val="22"/>
                  <w:szCs w:val="22"/>
                </w:rPr>
                <w:t>Законом України</w:t>
              </w:r>
            </w:hyperlink>
            <w:r>
              <w:rPr>
                <w:rFonts w:ascii="Times New Roman" w:eastAsia="Times New Roman" w:hAnsi="Times New Roman" w:cs="Times New Roman"/>
                <w:color w:val="000000"/>
                <w:sz w:val="22"/>
                <w:szCs w:val="22"/>
              </w:rPr>
              <w:t> “Про освіту” та спеціальними законами у сфері освіти.</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перший</w:t>
            </w:r>
          </w:p>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 29</w:t>
            </w:r>
          </w:p>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175D7E">
        <w:trPr>
          <w:trHeight w:val="1593"/>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25</w:t>
            </w:r>
          </w:p>
        </w:tc>
        <w:tc>
          <w:tcPr>
            <w:tcW w:w="2975" w:type="dxa"/>
          </w:tcPr>
          <w:p w:rsidR="00175D7E" w:rsidRP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r w:rsidRPr="00175D7E">
              <w:rPr>
                <w:rFonts w:ascii="Times New Roman" w:eastAsia="Times New Roman" w:hAnsi="Times New Roman" w:cs="Times New Roman"/>
                <w:color w:val="000000"/>
                <w:sz w:val="22"/>
                <w:szCs w:val="22"/>
              </w:rPr>
              <w:t>У разі провадження освітньої діяльності з підготовки іноземців та осіб без громадянства на офіційному веб-сайті ліцензіата є в наявності сторінка англійською мовою, на якій розміщена основна інформація про суб’єкта освітньої діяльності, правила прийому іноземців та осіб без громадянства, умови навчання та проживання іноземців та осіб без громадянства, контактна інформація тощо.</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другий</w:t>
            </w:r>
          </w:p>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пункту29</w:t>
            </w:r>
          </w:p>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175D7E">
        <w:trPr>
          <w:trHeight w:val="1593"/>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26</w:t>
            </w:r>
          </w:p>
        </w:tc>
        <w:tc>
          <w:tcPr>
            <w:tcW w:w="2975" w:type="dxa"/>
          </w:tcPr>
          <w:p w:rsid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забезпечив подання в електронній формі відомостей про кадрове та матеріально-технічне забезпечення закладу освіти, його відокремленого структурного підрозділу, які передбачені цими Ліцензійними умовами, до Єдиної державної електронної бази з питань освіти.</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перший</w:t>
            </w:r>
          </w:p>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 30</w:t>
            </w:r>
          </w:p>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175D7E">
        <w:trPr>
          <w:trHeight w:val="618"/>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27</w:t>
            </w:r>
          </w:p>
        </w:tc>
        <w:tc>
          <w:tcPr>
            <w:tcW w:w="2975" w:type="dxa"/>
          </w:tcPr>
          <w:p w:rsid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Ліцензіат забезпечив актуальність відомостей про кадрове та матеріально-технічне забезпечення в Єдиній державній електронній базі з питань освіти. Відомості про зміни даних у кадровому та матеріально-технічному забезпеченні вносяться ліцензіатом протягом </w:t>
            </w:r>
            <w:r>
              <w:rPr>
                <w:rFonts w:ascii="Times New Roman" w:eastAsia="Times New Roman" w:hAnsi="Times New Roman" w:cs="Times New Roman"/>
                <w:color w:val="000000"/>
                <w:sz w:val="22"/>
                <w:szCs w:val="22"/>
              </w:rPr>
              <w:lastRenderedPageBreak/>
              <w:t>тридцяти календарних днів з дня настання таких змін.</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 xml:space="preserve">В </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другий</w:t>
            </w:r>
          </w:p>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 30</w:t>
            </w:r>
          </w:p>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175D7E">
        <w:trPr>
          <w:trHeight w:val="1593"/>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28</w:t>
            </w:r>
          </w:p>
        </w:tc>
        <w:tc>
          <w:tcPr>
            <w:tcW w:w="2975" w:type="dxa"/>
          </w:tcPr>
          <w:p w:rsid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Вищі військові навчальні заклади (військові навчальні підрозділи закладів вищої освіти, заклади вищої освіти із специфічними умовами навчання), заклади фахової передвищої військової освіти, заклади фахової передвищої освіти та професійної (професійно-технічної) освіти із специфічними умовами навчання подають відомості про дотримання кадрових, технологічних та інших вимог безпосередньо органу ліцензування.</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 31</w:t>
            </w:r>
          </w:p>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175D7E">
        <w:trPr>
          <w:trHeight w:val="377"/>
        </w:trPr>
        <w:tc>
          <w:tcPr>
            <w:tcW w:w="10915" w:type="dxa"/>
            <w:gridSpan w:val="9"/>
          </w:tcPr>
          <w:p w:rsidR="00175D7E" w:rsidRDefault="00175D7E" w:rsidP="00175D7E">
            <w:pPr>
              <w:numPr>
                <w:ilvl w:val="0"/>
                <w:numId w:val="1"/>
              </w:num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b/>
                <w:i/>
                <w:color w:val="000000"/>
                <w:sz w:val="24"/>
                <w:szCs w:val="24"/>
              </w:rPr>
              <w:t>Спеціальні вимоги щодо провадження освітньої діяльності</w:t>
            </w:r>
          </w:p>
        </w:tc>
      </w:tr>
      <w:tr w:rsidR="00175D7E">
        <w:trPr>
          <w:trHeight w:val="1593"/>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29</w:t>
            </w:r>
          </w:p>
        </w:tc>
        <w:tc>
          <w:tcPr>
            <w:tcW w:w="2975" w:type="dxa"/>
          </w:tcPr>
          <w:p w:rsid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Ліцензіатам не провадить діяльність релігійних організацій чи політичних партій або брати участь у такій діяльності (крім закладів освіти, визначених </w:t>
            </w:r>
            <w:hyperlink r:id="rId9" w:anchor="n470">
              <w:r>
                <w:rPr>
                  <w:rFonts w:ascii="Times New Roman" w:eastAsia="Times New Roman" w:hAnsi="Times New Roman" w:cs="Times New Roman"/>
                  <w:color w:val="000000"/>
                  <w:sz w:val="22"/>
                  <w:szCs w:val="22"/>
                </w:rPr>
                <w:t>частиною другою</w:t>
              </w:r>
            </w:hyperlink>
            <w:r>
              <w:rPr>
                <w:rFonts w:ascii="Times New Roman" w:eastAsia="Times New Roman" w:hAnsi="Times New Roman" w:cs="Times New Roman"/>
                <w:color w:val="000000"/>
                <w:sz w:val="22"/>
                <w:szCs w:val="22"/>
              </w:rPr>
              <w:t> статті 31 Закону України “Про освіту”).</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перший</w:t>
            </w:r>
          </w:p>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 34</w:t>
            </w:r>
          </w:p>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175D7E">
        <w:trPr>
          <w:trHeight w:val="1593"/>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30</w:t>
            </w:r>
          </w:p>
        </w:tc>
        <w:tc>
          <w:tcPr>
            <w:tcW w:w="2975" w:type="dxa"/>
          </w:tcPr>
          <w:p w:rsid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не перебуває прямо чи опосередковано під контролем (у значенні, наведеному в </w:t>
            </w:r>
            <w:hyperlink r:id="rId10" w:anchor="n10">
              <w:r>
                <w:rPr>
                  <w:rFonts w:ascii="Times New Roman" w:eastAsia="Times New Roman" w:hAnsi="Times New Roman" w:cs="Times New Roman"/>
                  <w:color w:val="000000"/>
                  <w:sz w:val="22"/>
                  <w:szCs w:val="22"/>
                </w:rPr>
                <w:t>статті 1 </w:t>
              </w:r>
            </w:hyperlink>
            <w:r>
              <w:rPr>
                <w:rFonts w:ascii="Times New Roman" w:eastAsia="Times New Roman" w:hAnsi="Times New Roman" w:cs="Times New Roman"/>
                <w:color w:val="000000"/>
                <w:sz w:val="22"/>
                <w:szCs w:val="22"/>
              </w:rPr>
              <w:t>Закону України “Про захист економічної конкуренції”) резидентів держав, що здійснюють збройну агресію проти України (у значенні, наведеному в </w:t>
            </w:r>
            <w:hyperlink r:id="rId11" w:anchor="n138">
              <w:r>
                <w:rPr>
                  <w:rFonts w:ascii="Times New Roman" w:eastAsia="Times New Roman" w:hAnsi="Times New Roman" w:cs="Times New Roman"/>
                  <w:color w:val="000000"/>
                  <w:sz w:val="22"/>
                  <w:szCs w:val="22"/>
                </w:rPr>
                <w:t>статті 1</w:t>
              </w:r>
            </w:hyperlink>
            <w:r>
              <w:rPr>
                <w:rFonts w:ascii="Times New Roman" w:eastAsia="Times New Roman" w:hAnsi="Times New Roman" w:cs="Times New Roman"/>
                <w:color w:val="000000"/>
                <w:sz w:val="22"/>
                <w:szCs w:val="22"/>
              </w:rPr>
              <w:t> Закону України “Про оборону України”) та/або дії яких створюють умови для виникнення воєнного конфлікту та застосування воєнної сили проти України, та/або не можуть діяти в інтересах таких осіб.</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Абзац другий </w:t>
            </w:r>
          </w:p>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 34</w:t>
            </w:r>
          </w:p>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175D7E">
        <w:trPr>
          <w:trHeight w:val="636"/>
        </w:trPr>
        <w:tc>
          <w:tcPr>
            <w:tcW w:w="10915" w:type="dxa"/>
            <w:gridSpan w:val="9"/>
          </w:tcPr>
          <w:p w:rsidR="00175D7E" w:rsidRDefault="00175D7E" w:rsidP="00175D7E">
            <w:pPr>
              <w:numPr>
                <w:ilvl w:val="0"/>
                <w:numId w:val="1"/>
              </w:num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b/>
                <w:i/>
                <w:color w:val="000000"/>
                <w:sz w:val="24"/>
                <w:szCs w:val="24"/>
              </w:rPr>
              <w:t>Кадрові вимоги щодо провадження освітньої діяльності за рівнем вищої освіти та освітніми програмами, що передбачають присвоєння професійної кваліфікації з професій, для яких запроваджено додаткове регулювання</w:t>
            </w:r>
          </w:p>
        </w:tc>
      </w:tr>
      <w:tr w:rsidR="00175D7E">
        <w:trPr>
          <w:trHeight w:val="315"/>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31</w:t>
            </w:r>
          </w:p>
        </w:tc>
        <w:tc>
          <w:tcPr>
            <w:tcW w:w="2975" w:type="dxa"/>
          </w:tcPr>
          <w:p w:rsid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Ліцензіат повинен бути забезпечений педагогічними працівниками з відповідною освітньою та/або професійною кваліфікацією, </w:t>
            </w:r>
            <w:r>
              <w:rPr>
                <w:rFonts w:ascii="Times New Roman" w:eastAsia="Times New Roman" w:hAnsi="Times New Roman" w:cs="Times New Roman"/>
                <w:color w:val="000000"/>
                <w:sz w:val="22"/>
                <w:szCs w:val="22"/>
              </w:rPr>
              <w:lastRenderedPageBreak/>
              <w:t>необхідними для викладання усіх навчальних предметів (модулів) навчального плану з урахуванням чисельності контингенту здобувачів освіти та норм педагогічного навантаження на одну тарифну ставку.</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 xml:space="preserve">В </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tcPr>
          <w:p w:rsidR="00175D7E" w:rsidRDefault="00175D7E" w:rsidP="00175D7E">
            <w:pPr>
              <w:pBdr>
                <w:top w:val="nil"/>
                <w:left w:val="nil"/>
                <w:bottom w:val="nil"/>
                <w:right w:val="nil"/>
                <w:between w:val="nil"/>
              </w:pBdr>
              <w:spacing w:after="200" w:line="276" w:lineRule="auto"/>
              <w:rPr>
                <w:color w:val="000000"/>
                <w:sz w:val="22"/>
                <w:szCs w:val="22"/>
              </w:rPr>
            </w:pPr>
          </w:p>
        </w:tc>
        <w:tc>
          <w:tcPr>
            <w:tcW w:w="485" w:type="dxa"/>
            <w:gridSpan w:val="2"/>
          </w:tcPr>
          <w:p w:rsidR="00175D7E" w:rsidRDefault="00175D7E" w:rsidP="00175D7E">
            <w:pPr>
              <w:pBdr>
                <w:top w:val="nil"/>
                <w:left w:val="nil"/>
                <w:bottom w:val="nil"/>
                <w:right w:val="nil"/>
                <w:between w:val="nil"/>
              </w:pBdr>
              <w:spacing w:after="200" w:line="276" w:lineRule="auto"/>
              <w:rPr>
                <w:color w:val="000000"/>
                <w:sz w:val="22"/>
                <w:szCs w:val="22"/>
              </w:rPr>
            </w:pPr>
          </w:p>
        </w:tc>
        <w:tc>
          <w:tcPr>
            <w:tcW w:w="796"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перший пункту55 Ліцензійних умов</w:t>
            </w:r>
          </w:p>
        </w:tc>
      </w:tr>
      <w:tr w:rsidR="00175D7E">
        <w:trPr>
          <w:trHeight w:val="315"/>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lastRenderedPageBreak/>
              <w:t>3</w:t>
            </w:r>
            <w:r>
              <w:rPr>
                <w:rFonts w:ascii="Times New Roman" w:eastAsia="Times New Roman" w:hAnsi="Times New Roman" w:cs="Times New Roman"/>
                <w:color w:val="000000"/>
                <w:sz w:val="22"/>
                <w:szCs w:val="22"/>
              </w:rPr>
              <w:t>2</w:t>
            </w:r>
          </w:p>
        </w:tc>
        <w:tc>
          <w:tcPr>
            <w:tcW w:w="2975" w:type="dxa"/>
          </w:tcPr>
          <w:p w:rsidR="00175D7E" w:rsidRDefault="00175D7E" w:rsidP="00175D7E">
            <w:pP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Відповідність освітньої кваліфікації педагогічного працівника (викладача) визначається спеціальністю згідно з документом про вищу, фахову передвищу освіту та підвищенням кваліфікації за відповідною дисципліною не менше 72 годин.</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tcPr>
          <w:p w:rsidR="00175D7E" w:rsidRDefault="00175D7E" w:rsidP="00175D7E">
            <w:pPr>
              <w:pBdr>
                <w:top w:val="nil"/>
                <w:left w:val="nil"/>
                <w:bottom w:val="nil"/>
                <w:right w:val="nil"/>
                <w:between w:val="nil"/>
              </w:pBdr>
              <w:spacing w:after="200" w:line="276" w:lineRule="auto"/>
              <w:rPr>
                <w:color w:val="000000"/>
                <w:sz w:val="22"/>
                <w:szCs w:val="22"/>
              </w:rPr>
            </w:pPr>
          </w:p>
        </w:tc>
        <w:tc>
          <w:tcPr>
            <w:tcW w:w="485" w:type="dxa"/>
            <w:gridSpan w:val="2"/>
          </w:tcPr>
          <w:p w:rsidR="00175D7E" w:rsidRDefault="00175D7E" w:rsidP="00175D7E">
            <w:pPr>
              <w:pBdr>
                <w:top w:val="nil"/>
                <w:left w:val="nil"/>
                <w:bottom w:val="nil"/>
                <w:right w:val="nil"/>
                <w:between w:val="nil"/>
              </w:pBdr>
              <w:spacing w:after="200" w:line="276" w:lineRule="auto"/>
              <w:rPr>
                <w:color w:val="000000"/>
                <w:sz w:val="22"/>
                <w:szCs w:val="22"/>
              </w:rPr>
            </w:pPr>
          </w:p>
        </w:tc>
        <w:tc>
          <w:tcPr>
            <w:tcW w:w="796"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другий  пункту 55 Ліцензійних умов</w:t>
            </w:r>
          </w:p>
        </w:tc>
      </w:tr>
      <w:tr w:rsidR="00175D7E">
        <w:trPr>
          <w:trHeight w:val="315"/>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3</w:t>
            </w:r>
            <w:r>
              <w:rPr>
                <w:rFonts w:ascii="Times New Roman" w:eastAsia="Times New Roman" w:hAnsi="Times New Roman" w:cs="Times New Roman"/>
                <w:color w:val="000000"/>
                <w:sz w:val="22"/>
                <w:szCs w:val="22"/>
              </w:rPr>
              <w:t>3</w:t>
            </w:r>
          </w:p>
        </w:tc>
        <w:tc>
          <w:tcPr>
            <w:tcW w:w="2975" w:type="dxa"/>
          </w:tcPr>
          <w:p w:rsid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Відповідність освітньої кваліфікації педагогічного працівника (майстра виробничого навчання, інструктора) визначається спеціальністю (професією) згідно з документом про вищу, фахову передвищу освіту.</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tcPr>
          <w:p w:rsidR="00175D7E" w:rsidRDefault="00175D7E" w:rsidP="00175D7E">
            <w:pPr>
              <w:pBdr>
                <w:top w:val="nil"/>
                <w:left w:val="nil"/>
                <w:bottom w:val="nil"/>
                <w:right w:val="nil"/>
                <w:between w:val="nil"/>
              </w:pBdr>
              <w:spacing w:after="200" w:line="276" w:lineRule="auto"/>
              <w:rPr>
                <w:color w:val="000000"/>
                <w:sz w:val="22"/>
                <w:szCs w:val="22"/>
              </w:rPr>
            </w:pPr>
          </w:p>
        </w:tc>
        <w:tc>
          <w:tcPr>
            <w:tcW w:w="485" w:type="dxa"/>
            <w:gridSpan w:val="2"/>
          </w:tcPr>
          <w:p w:rsidR="00175D7E" w:rsidRDefault="00175D7E" w:rsidP="00175D7E">
            <w:pPr>
              <w:pBdr>
                <w:top w:val="nil"/>
                <w:left w:val="nil"/>
                <w:bottom w:val="nil"/>
                <w:right w:val="nil"/>
                <w:between w:val="nil"/>
              </w:pBdr>
              <w:spacing w:after="200" w:line="276" w:lineRule="auto"/>
              <w:rPr>
                <w:color w:val="000000"/>
                <w:sz w:val="22"/>
                <w:szCs w:val="22"/>
              </w:rPr>
            </w:pPr>
          </w:p>
        </w:tc>
        <w:tc>
          <w:tcPr>
            <w:tcW w:w="796"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третій пункту 55 Ліцензійних умов</w:t>
            </w:r>
          </w:p>
        </w:tc>
      </w:tr>
      <w:tr w:rsidR="00175D7E">
        <w:trPr>
          <w:trHeight w:val="315"/>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34</w:t>
            </w:r>
          </w:p>
        </w:tc>
        <w:tc>
          <w:tcPr>
            <w:tcW w:w="2975" w:type="dxa"/>
          </w:tcPr>
          <w:p w:rsid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Відповідність професійної кваліфікації за відповідною або суміжною професією майстрів виробничого навчання (інструкторів) визначається згідно з документом про професійну (професійно-технічну) освіту або досвідом практичної роботи за відповідним фахом (професією) не менше п’яти років (крім педагогічної чи науково-педагогічної діяльності) та підвищенням кваліфікації не менше 72 годин.</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85" w:type="dxa"/>
            <w:gridSpan w:val="2"/>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796"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четвертий пункту 55</w:t>
            </w:r>
          </w:p>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Ліцензійних умов</w:t>
            </w:r>
          </w:p>
        </w:tc>
      </w:tr>
      <w:tr w:rsidR="00175D7E">
        <w:trPr>
          <w:trHeight w:val="315"/>
        </w:trPr>
        <w:tc>
          <w:tcPr>
            <w:tcW w:w="10915" w:type="dxa"/>
            <w:gridSpan w:val="9"/>
          </w:tcPr>
          <w:p w:rsidR="00175D7E" w:rsidRDefault="00175D7E" w:rsidP="00175D7E">
            <w:pPr>
              <w:numPr>
                <w:ilvl w:val="0"/>
                <w:numId w:val="1"/>
              </w:num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w:t>
            </w:r>
            <w:r>
              <w:rPr>
                <w:rFonts w:ascii="Times New Roman" w:eastAsia="Times New Roman" w:hAnsi="Times New Roman" w:cs="Times New Roman"/>
                <w:b/>
                <w:i/>
                <w:color w:val="000000"/>
                <w:sz w:val="24"/>
                <w:szCs w:val="24"/>
              </w:rPr>
              <w:t>Технологічні вимоги щодо провадження освітньої діяльності для освітніх програм на відповідному рівні вищої освіти</w:t>
            </w:r>
          </w:p>
        </w:tc>
      </w:tr>
      <w:tr w:rsidR="00175D7E">
        <w:trPr>
          <w:trHeight w:val="315"/>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35</w:t>
            </w:r>
          </w:p>
        </w:tc>
        <w:tc>
          <w:tcPr>
            <w:tcW w:w="2975" w:type="dxa"/>
          </w:tcPr>
          <w:p w:rsid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До матеріально-технічного забезпечення освітньої діяльності на рівнях професійної (професійно-технічної) освіти до ліцензіата встановлюються такі технологічні вимоги:</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Пункт  56 Ліцензійних умов</w:t>
            </w:r>
          </w:p>
        </w:tc>
      </w:tr>
      <w:tr w:rsidR="00175D7E">
        <w:trPr>
          <w:trHeight w:val="2164"/>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lastRenderedPageBreak/>
              <w:t>35</w:t>
            </w:r>
            <w:r>
              <w:rPr>
                <w:rFonts w:ascii="Times New Roman" w:eastAsia="Times New Roman" w:hAnsi="Times New Roman" w:cs="Times New Roman"/>
                <w:color w:val="000000"/>
                <w:sz w:val="22"/>
                <w:szCs w:val="22"/>
              </w:rPr>
              <w:t>.1</w:t>
            </w:r>
          </w:p>
        </w:tc>
        <w:tc>
          <w:tcPr>
            <w:tcW w:w="2975" w:type="dxa"/>
          </w:tcPr>
          <w:p w:rsid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наявність документів, які підтверджують право власності чи користування майном для провадження освітньої діяльності;</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rPr>
              <w:t>Н</w:t>
            </w:r>
            <w:r>
              <w:rPr>
                <w:rFonts w:ascii="Times New Roman" w:eastAsia="Times New Roman" w:hAnsi="Times New Roman" w:cs="Times New Roman"/>
                <w:color w:val="000000"/>
                <w:sz w:val="22"/>
                <w:szCs w:val="22"/>
                <w:highlight w:val="white"/>
              </w:rPr>
              <w:t xml:space="preserve"> </w:t>
            </w: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sz w:val="22"/>
                <w:szCs w:val="22"/>
                <w:highlight w:val="white"/>
              </w:rPr>
              <w:t>Підпункт</w:t>
            </w:r>
            <w:r>
              <w:rPr>
                <w:rFonts w:ascii="Times New Roman" w:eastAsia="Times New Roman" w:hAnsi="Times New Roman" w:cs="Times New Roman"/>
                <w:color w:val="000000"/>
                <w:sz w:val="22"/>
                <w:szCs w:val="22"/>
                <w:highlight w:val="white"/>
              </w:rPr>
              <w:t xml:space="preserve"> 1</w:t>
            </w:r>
          </w:p>
          <w:p w:rsidR="00175D7E" w:rsidRDefault="00175D7E" w:rsidP="00175D7E">
            <w:pPr>
              <w:pBdr>
                <w:top w:val="nil"/>
                <w:left w:val="nil"/>
                <w:bottom w:val="nil"/>
                <w:right w:val="nil"/>
                <w:between w:val="nil"/>
              </w:pBdr>
              <w:rPr>
                <w:rFonts w:ascii="Times New Roman" w:eastAsia="Times New Roman" w:hAnsi="Times New Roman" w:cs="Times New Roman"/>
                <w:sz w:val="22"/>
                <w:szCs w:val="22"/>
                <w:highlight w:val="white"/>
              </w:rPr>
            </w:pPr>
            <w:r>
              <w:rPr>
                <w:rFonts w:ascii="Times New Roman" w:eastAsia="Times New Roman" w:hAnsi="Times New Roman" w:cs="Times New Roman"/>
                <w:sz w:val="22"/>
                <w:szCs w:val="22"/>
                <w:highlight w:val="white"/>
              </w:rPr>
              <w:t>пункту 56</w:t>
            </w:r>
          </w:p>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 xml:space="preserve">Ліцензійних умов </w:t>
            </w:r>
          </w:p>
        </w:tc>
      </w:tr>
      <w:tr w:rsidR="00175D7E">
        <w:trPr>
          <w:trHeight w:val="315"/>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35</w:t>
            </w:r>
            <w:r>
              <w:rPr>
                <w:rFonts w:ascii="Times New Roman" w:eastAsia="Times New Roman" w:hAnsi="Times New Roman" w:cs="Times New Roman"/>
                <w:color w:val="000000"/>
                <w:sz w:val="22"/>
                <w:szCs w:val="22"/>
              </w:rPr>
              <w:t>.2</w:t>
            </w:r>
          </w:p>
        </w:tc>
        <w:tc>
          <w:tcPr>
            <w:tcW w:w="2975" w:type="dxa"/>
          </w:tcPr>
          <w:p w:rsid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забезпечення майстернями, навчальними кабінетами та лабораторіями, у тому числі комп’ютерними робочими місцями, полігонами, обладнанням та устаткуванням, спортивними залами та спортивними майданчиками (стадіоном) в обсязі, достатньому для виконання затверджених навчальних планів, медичним пунктом, бібліотекою та пунктом харчування.</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Н </w:t>
            </w: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Підп</w:t>
            </w:r>
            <w:r>
              <w:rPr>
                <w:rFonts w:ascii="Times New Roman" w:eastAsia="Times New Roman" w:hAnsi="Times New Roman" w:cs="Times New Roman"/>
                <w:color w:val="000000"/>
                <w:sz w:val="22"/>
                <w:szCs w:val="22"/>
              </w:rPr>
              <w:t>ункт 2</w:t>
            </w:r>
          </w:p>
          <w:p w:rsidR="00175D7E" w:rsidRDefault="00175D7E" w:rsidP="00175D7E">
            <w:pPr>
              <w:pBdr>
                <w:top w:val="nil"/>
                <w:left w:val="nil"/>
                <w:bottom w:val="nil"/>
                <w:right w:val="nil"/>
                <w:between w:val="nil"/>
              </w:pBdr>
              <w:rPr>
                <w:rFonts w:ascii="Times New Roman" w:eastAsia="Times New Roman" w:hAnsi="Times New Roman" w:cs="Times New Roman"/>
                <w:sz w:val="22"/>
                <w:szCs w:val="22"/>
              </w:rPr>
            </w:pPr>
            <w:r>
              <w:rPr>
                <w:rFonts w:ascii="Times New Roman" w:eastAsia="Times New Roman" w:hAnsi="Times New Roman" w:cs="Times New Roman"/>
                <w:sz w:val="22"/>
                <w:szCs w:val="22"/>
              </w:rPr>
              <w:t>Пункту 56</w:t>
            </w:r>
          </w:p>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 xml:space="preserve">Ліцензійних умов </w:t>
            </w:r>
          </w:p>
        </w:tc>
      </w:tr>
      <w:tr w:rsidR="00175D7E">
        <w:trPr>
          <w:trHeight w:val="315"/>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36</w:t>
            </w:r>
          </w:p>
        </w:tc>
        <w:tc>
          <w:tcPr>
            <w:tcW w:w="2975" w:type="dxa"/>
          </w:tcPr>
          <w:p w:rsid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Під час проведення професійного (професійно-технічного) навчання на виробництві наявність спортивної зали та спортивного майданчика (стадіону), гуртожитку, бібліотеки та пункту харчування не є обов’язковим.</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pBdr>
                <w:top w:val="nil"/>
                <w:left w:val="nil"/>
                <w:bottom w:val="nil"/>
                <w:right w:val="nil"/>
                <w:between w:val="nil"/>
              </w:pBdr>
              <w:rPr>
                <w:rFonts w:ascii="Times New Roman" w:eastAsia="Times New Roman" w:hAnsi="Times New Roman" w:cs="Times New Roman"/>
                <w:sz w:val="22"/>
                <w:szCs w:val="22"/>
              </w:rPr>
            </w:pPr>
            <w:r>
              <w:rPr>
                <w:rFonts w:ascii="Times New Roman" w:eastAsia="Times New Roman" w:hAnsi="Times New Roman" w:cs="Times New Roman"/>
                <w:color w:val="000000"/>
                <w:sz w:val="22"/>
                <w:szCs w:val="22"/>
              </w:rPr>
              <w:t>Абзац перший 1</w:t>
            </w:r>
          </w:p>
          <w:p w:rsidR="00175D7E" w:rsidRDefault="00175D7E" w:rsidP="00175D7E">
            <w:pPr>
              <w:pBdr>
                <w:top w:val="nil"/>
                <w:left w:val="nil"/>
                <w:bottom w:val="nil"/>
                <w:right w:val="nil"/>
                <w:between w:val="nil"/>
              </w:pBd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підпункту </w:t>
            </w:r>
            <w:r>
              <w:rPr>
                <w:rFonts w:ascii="Times New Roman" w:eastAsia="Times New Roman" w:hAnsi="Times New Roman" w:cs="Times New Roman"/>
                <w:color w:val="000000"/>
                <w:sz w:val="22"/>
                <w:szCs w:val="22"/>
              </w:rPr>
              <w:t>2</w:t>
            </w:r>
          </w:p>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 56</w:t>
            </w:r>
          </w:p>
          <w:p w:rsidR="00175D7E" w:rsidRDefault="00175D7E" w:rsidP="00175D7E">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w:t>
            </w:r>
          </w:p>
        </w:tc>
      </w:tr>
      <w:tr w:rsidR="00175D7E">
        <w:trPr>
          <w:trHeight w:val="315"/>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37</w:t>
            </w:r>
          </w:p>
        </w:tc>
        <w:tc>
          <w:tcPr>
            <w:tcW w:w="2975" w:type="dxa"/>
          </w:tcPr>
          <w:p w:rsid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Під час проведення професійного (професійно-технічного) навчання на виробництві за індивідуальною формою навчання, що передбачає навчання на робочому місці під керівництвом кваліфікованих робітників - інструкторів виробничого навчання, наявність майстерень, навчальних кабінетів та лабораторій, включаючи комп’ютерні робочі місця, не є обов’язковим.</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Абзац перший 2</w:t>
            </w:r>
          </w:p>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підпункту 2</w:t>
            </w:r>
          </w:p>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пункту 56</w:t>
            </w:r>
          </w:p>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r>
      <w:tr w:rsidR="00175D7E">
        <w:trPr>
          <w:trHeight w:val="315"/>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38</w:t>
            </w:r>
          </w:p>
        </w:tc>
        <w:tc>
          <w:tcPr>
            <w:tcW w:w="2975" w:type="dxa"/>
          </w:tcPr>
          <w:p w:rsid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bookmarkStart w:id="0" w:name="_heading=h.gjdgxs" w:colFirst="0" w:colLast="0"/>
            <w:bookmarkEnd w:id="0"/>
            <w:r>
              <w:rPr>
                <w:rFonts w:ascii="Times New Roman" w:eastAsia="Times New Roman" w:hAnsi="Times New Roman" w:cs="Times New Roman"/>
                <w:color w:val="000000"/>
                <w:sz w:val="22"/>
                <w:szCs w:val="22"/>
              </w:rPr>
              <w:t>До навчально-методичного забезпечення освітньої діяльності на рівні професійної (професійно-технічної) освіти до ліцензіата встановлюються такі технологічні вимоги:</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highlight w:val="white"/>
              </w:rPr>
              <w:t>Пункт  57 Ліцензійних умов</w:t>
            </w:r>
          </w:p>
        </w:tc>
      </w:tr>
      <w:tr w:rsidR="00175D7E">
        <w:trPr>
          <w:trHeight w:val="315"/>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lastRenderedPageBreak/>
              <w:t>39</w:t>
            </w:r>
          </w:p>
        </w:tc>
        <w:tc>
          <w:tcPr>
            <w:tcW w:w="2975" w:type="dxa"/>
          </w:tcPr>
          <w:p w:rsid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наявність:</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pBdr>
                <w:top w:val="nil"/>
                <w:left w:val="nil"/>
                <w:bottom w:val="nil"/>
                <w:right w:val="nil"/>
                <w:between w:val="nil"/>
              </w:pBdr>
              <w:rPr>
                <w:rFonts w:ascii="Times New Roman" w:eastAsia="Times New Roman" w:hAnsi="Times New Roman" w:cs="Times New Roman"/>
                <w:sz w:val="22"/>
                <w:szCs w:val="22"/>
              </w:rPr>
            </w:pPr>
            <w:r>
              <w:rPr>
                <w:rFonts w:ascii="Times New Roman" w:eastAsia="Times New Roman" w:hAnsi="Times New Roman" w:cs="Times New Roman"/>
                <w:sz w:val="22"/>
                <w:szCs w:val="22"/>
              </w:rPr>
              <w:t>Підпункт 1</w:t>
            </w:r>
          </w:p>
          <w:p w:rsidR="00175D7E" w:rsidRDefault="00175D7E" w:rsidP="00175D7E">
            <w:pPr>
              <w:pBdr>
                <w:top w:val="nil"/>
                <w:left w:val="nil"/>
                <w:bottom w:val="nil"/>
                <w:right w:val="nil"/>
                <w:between w:val="nil"/>
              </w:pBdr>
              <w:rPr>
                <w:rFonts w:ascii="Times New Roman" w:eastAsia="Times New Roman" w:hAnsi="Times New Roman" w:cs="Times New Roman"/>
                <w:sz w:val="22"/>
                <w:szCs w:val="22"/>
              </w:rPr>
            </w:pPr>
            <w:r>
              <w:rPr>
                <w:rFonts w:ascii="Times New Roman" w:eastAsia="Times New Roman" w:hAnsi="Times New Roman" w:cs="Times New Roman"/>
                <w:sz w:val="22"/>
                <w:szCs w:val="22"/>
              </w:rPr>
              <w:t>пункту 57</w:t>
            </w:r>
          </w:p>
          <w:p w:rsidR="00175D7E" w:rsidRDefault="00175D7E" w:rsidP="00175D7E">
            <w:pPr>
              <w:pBdr>
                <w:top w:val="nil"/>
                <w:left w:val="nil"/>
                <w:bottom w:val="nil"/>
                <w:right w:val="nil"/>
                <w:between w:val="nil"/>
              </w:pBdr>
              <w:rPr>
                <w:rFonts w:ascii="Times New Roman" w:eastAsia="Times New Roman" w:hAnsi="Times New Roman" w:cs="Times New Roman"/>
                <w:sz w:val="22"/>
                <w:szCs w:val="22"/>
              </w:rPr>
            </w:pPr>
            <w:r>
              <w:rPr>
                <w:rFonts w:ascii="Times New Roman" w:eastAsia="Times New Roman" w:hAnsi="Times New Roman" w:cs="Times New Roman"/>
                <w:sz w:val="22"/>
                <w:szCs w:val="22"/>
              </w:rPr>
              <w:t>Ліцензійних умов</w:t>
            </w:r>
          </w:p>
        </w:tc>
      </w:tr>
      <w:tr w:rsidR="00175D7E">
        <w:trPr>
          <w:trHeight w:val="315"/>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39.1</w:t>
            </w:r>
          </w:p>
        </w:tc>
        <w:tc>
          <w:tcPr>
            <w:tcW w:w="2975" w:type="dxa"/>
          </w:tcPr>
          <w:p w:rsid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навчальних планів, затверджених в установленому порядку, відповідно до державних стандартів професійно-технічної освіти (стандартів професійної (професійно-технічної) освіти), професійних стандартів (у разі відсутності - кваліфікаційної характеристики професії);</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Абзац перший</w:t>
            </w:r>
          </w:p>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підпункт 1</w:t>
            </w:r>
          </w:p>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пункту 57</w:t>
            </w:r>
          </w:p>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Ліцензійних умов</w:t>
            </w:r>
          </w:p>
        </w:tc>
      </w:tr>
      <w:tr w:rsidR="00175D7E">
        <w:trPr>
          <w:trHeight w:val="315"/>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39.2</w:t>
            </w:r>
          </w:p>
        </w:tc>
        <w:tc>
          <w:tcPr>
            <w:tcW w:w="2975" w:type="dxa"/>
          </w:tcPr>
          <w:p w:rsid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робочої програми з кожного навчального предмета навчального плану;</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Абзац другий</w:t>
            </w:r>
          </w:p>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підпункт 1</w:t>
            </w:r>
          </w:p>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пункту 57</w:t>
            </w:r>
          </w:p>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Ліцензійних умов</w:t>
            </w:r>
          </w:p>
        </w:tc>
      </w:tr>
      <w:tr w:rsidR="00175D7E">
        <w:trPr>
          <w:trHeight w:val="315"/>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39.3</w:t>
            </w:r>
          </w:p>
        </w:tc>
        <w:tc>
          <w:tcPr>
            <w:tcW w:w="2975" w:type="dxa"/>
          </w:tcPr>
          <w:p w:rsid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програми професійно-теоретичної та професійно-практичної підготовки;</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Абзац третій</w:t>
            </w:r>
          </w:p>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підпункт 1</w:t>
            </w:r>
          </w:p>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пункту 57</w:t>
            </w:r>
          </w:p>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Ліцензійних умов</w:t>
            </w:r>
          </w:p>
        </w:tc>
      </w:tr>
      <w:tr w:rsidR="00175D7E">
        <w:trPr>
          <w:trHeight w:val="315"/>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39.4</w:t>
            </w:r>
          </w:p>
        </w:tc>
        <w:tc>
          <w:tcPr>
            <w:tcW w:w="2975" w:type="dxa"/>
          </w:tcPr>
          <w:p w:rsid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методичних рекомендацій щодо виконання державної кваліфікаційної атестації;</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Абзац четвертий</w:t>
            </w:r>
          </w:p>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підпункт 1</w:t>
            </w:r>
          </w:p>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пункту 57</w:t>
            </w:r>
          </w:p>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Ліцензійних умов</w:t>
            </w:r>
          </w:p>
        </w:tc>
      </w:tr>
      <w:tr w:rsidR="00175D7E">
        <w:trPr>
          <w:trHeight w:val="315"/>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39.5</w:t>
            </w:r>
          </w:p>
        </w:tc>
        <w:tc>
          <w:tcPr>
            <w:tcW w:w="2975" w:type="dxa"/>
          </w:tcPr>
          <w:p w:rsid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критеріїв державної кваліфікаційної атестації випускників;</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Абзац п'ятий</w:t>
            </w:r>
          </w:p>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підпункт 1</w:t>
            </w:r>
          </w:p>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пункту 57</w:t>
            </w:r>
          </w:p>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Ліцензійних умов</w:t>
            </w:r>
          </w:p>
        </w:tc>
      </w:tr>
      <w:tr w:rsidR="00175D7E">
        <w:trPr>
          <w:trHeight w:val="315"/>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39.6</w:t>
            </w:r>
          </w:p>
        </w:tc>
        <w:tc>
          <w:tcPr>
            <w:tcW w:w="2975" w:type="dxa"/>
          </w:tcPr>
          <w:p w:rsid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забезпечення навчальними матеріалами для кожного навчального предмета навчального плану та професійно-практичної підготовки (поурочно-тематичних планів, планів виробничого навчання з професії на семестр чи курс навчання, планів семінарських, практичних занять, завдань для лабораторних робіт, методичних вказівок для тематичного та вихідного контролю, критеріїв оцінювання знань і вмінь);</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Підпункт 2</w:t>
            </w:r>
          </w:p>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пункту 57</w:t>
            </w:r>
          </w:p>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Ліцензійних умов</w:t>
            </w:r>
          </w:p>
        </w:tc>
      </w:tr>
      <w:tr w:rsidR="00175D7E">
        <w:trPr>
          <w:trHeight w:val="315"/>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39.7</w:t>
            </w:r>
          </w:p>
        </w:tc>
        <w:tc>
          <w:tcPr>
            <w:tcW w:w="2975" w:type="dxa"/>
          </w:tcPr>
          <w:p w:rsid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забезпечення програмами усіх видів виробничих практик.</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Підпункт 2</w:t>
            </w:r>
          </w:p>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пункту 57</w:t>
            </w:r>
          </w:p>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Ліцензійних умов</w:t>
            </w:r>
          </w:p>
        </w:tc>
      </w:tr>
      <w:tr w:rsidR="00175D7E">
        <w:trPr>
          <w:trHeight w:val="315"/>
        </w:trPr>
        <w:tc>
          <w:tcPr>
            <w:tcW w:w="706"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40</w:t>
            </w:r>
            <w:bookmarkStart w:id="1" w:name="_GoBack"/>
            <w:bookmarkEnd w:id="1"/>
          </w:p>
        </w:tc>
        <w:tc>
          <w:tcPr>
            <w:tcW w:w="2975" w:type="dxa"/>
          </w:tcPr>
          <w:p w:rsidR="00175D7E" w:rsidRDefault="00175D7E" w:rsidP="00175D7E">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До інформаційного забезпечення освітньої діяльності на рівні професійної (професійно-технічної) освіти до </w:t>
            </w:r>
            <w:r>
              <w:rPr>
                <w:rFonts w:ascii="Times New Roman" w:eastAsia="Times New Roman" w:hAnsi="Times New Roman" w:cs="Times New Roman"/>
                <w:color w:val="000000"/>
                <w:sz w:val="22"/>
                <w:szCs w:val="22"/>
              </w:rPr>
              <w:lastRenderedPageBreak/>
              <w:t>здобувача ліцензії (ліцензіата) встановлюються технологічні вимоги щодо забезпечення на кожних трьох здобувачів освіти не менше одного підручника, навчального посібника, хрестоматій з інших предметів згідно з переліком рекомендованої літератури та/або забезпечення постійного доступу до їх електронних версій (або відповідного електронного ресурсу).</w:t>
            </w:r>
          </w:p>
        </w:tc>
        <w:tc>
          <w:tcPr>
            <w:tcW w:w="1135"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 xml:space="preserve">В </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175D7E" w:rsidRDefault="00175D7E" w:rsidP="00175D7E">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175D7E" w:rsidRDefault="00175D7E" w:rsidP="00175D7E">
            <w:pPr>
              <w:rPr>
                <w:rFonts w:ascii="Times New Roman" w:eastAsia="Times New Roman" w:hAnsi="Times New Roman" w:cs="Times New Roman"/>
                <w:sz w:val="22"/>
                <w:szCs w:val="22"/>
              </w:rPr>
            </w:pPr>
            <w:r>
              <w:rPr>
                <w:rFonts w:ascii="Times New Roman" w:eastAsia="Times New Roman" w:hAnsi="Times New Roman" w:cs="Times New Roman"/>
                <w:sz w:val="22"/>
                <w:szCs w:val="22"/>
              </w:rPr>
              <w:t>Пункт  58</w:t>
            </w:r>
          </w:p>
          <w:p w:rsidR="00175D7E" w:rsidRDefault="00175D7E" w:rsidP="00175D7E">
            <w:pPr>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Ліцензійних умов</w:t>
            </w:r>
          </w:p>
        </w:tc>
      </w:tr>
    </w:tbl>
    <w:p w:rsidR="000E660C" w:rsidRDefault="000E660C">
      <w:pPr>
        <w:pBdr>
          <w:top w:val="nil"/>
          <w:left w:val="nil"/>
          <w:bottom w:val="nil"/>
          <w:right w:val="nil"/>
          <w:between w:val="nil"/>
        </w:pBdr>
        <w:tabs>
          <w:tab w:val="center" w:pos="4677"/>
          <w:tab w:val="right" w:pos="9355"/>
        </w:tabs>
        <w:rPr>
          <w:rFonts w:ascii="Times New Roman" w:eastAsia="Times New Roman" w:hAnsi="Times New Roman" w:cs="Times New Roman"/>
          <w:color w:val="000000"/>
          <w:sz w:val="22"/>
          <w:szCs w:val="22"/>
        </w:rPr>
      </w:pPr>
    </w:p>
    <w:p w:rsidR="000E660C" w:rsidRDefault="00BA164A">
      <w:pPr>
        <w:pBdr>
          <w:top w:val="nil"/>
          <w:left w:val="nil"/>
          <w:bottom w:val="nil"/>
          <w:right w:val="nil"/>
          <w:between w:val="nil"/>
        </w:pBdr>
        <w:tabs>
          <w:tab w:val="center" w:pos="4677"/>
          <w:tab w:val="right" w:pos="9355"/>
        </w:tabs>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*Ступені ризику: «Н» - незначний, «С» - середній, «В» - високий.</w:t>
      </w:r>
    </w:p>
    <w:p w:rsidR="000E660C" w:rsidRDefault="000E660C">
      <w:pPr>
        <w:pBdr>
          <w:top w:val="nil"/>
          <w:left w:val="nil"/>
          <w:bottom w:val="nil"/>
          <w:right w:val="nil"/>
          <w:between w:val="nil"/>
        </w:pBdr>
        <w:tabs>
          <w:tab w:val="center" w:pos="4677"/>
          <w:tab w:val="right" w:pos="9355"/>
        </w:tabs>
        <w:rPr>
          <w:rFonts w:ascii="Times New Roman" w:eastAsia="Times New Roman" w:hAnsi="Times New Roman" w:cs="Times New Roman"/>
          <w:color w:val="000000"/>
          <w:sz w:val="22"/>
          <w:szCs w:val="22"/>
        </w:rPr>
      </w:pPr>
    </w:p>
    <w:p w:rsidR="000E660C" w:rsidRDefault="00BA164A">
      <w:pPr>
        <w:pBdr>
          <w:top w:val="nil"/>
          <w:left w:val="nil"/>
          <w:bottom w:val="nil"/>
          <w:right w:val="nil"/>
          <w:between w:val="nil"/>
        </w:pBdr>
        <w:tabs>
          <w:tab w:val="center" w:pos="4677"/>
          <w:tab w:val="right" w:pos="9355"/>
        </w:tabs>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Заповнює керівник суб’єкта господарювання або уповноважена ним особа у добровільному порядку шляхом присвоєння кожному з питань від 1 до 4 балів, де 4 позначає питання щодо вимоги законод</w:t>
      </w:r>
      <w:r>
        <w:rPr>
          <w:rFonts w:ascii="Times New Roman" w:eastAsia="Times New Roman" w:hAnsi="Times New Roman" w:cs="Times New Roman"/>
          <w:color w:val="000000"/>
          <w:sz w:val="22"/>
          <w:szCs w:val="22"/>
        </w:rPr>
        <w:t>авства, дотримання якої має найбільше адміністративне, фінансове або будь-яке інше навантаження на суб’єкта господарювання, 1 –  питання щодо вимоги законодавства, дотримання якої не передбачає такого навантаження на суб’єкта господарювання.</w:t>
      </w:r>
    </w:p>
    <w:p w:rsidR="000E660C" w:rsidRDefault="000E660C">
      <w:pPr>
        <w:pBdr>
          <w:top w:val="nil"/>
          <w:left w:val="nil"/>
          <w:bottom w:val="nil"/>
          <w:right w:val="nil"/>
          <w:between w:val="nil"/>
        </w:pBdr>
        <w:jc w:val="both"/>
        <w:rPr>
          <w:rFonts w:ascii="Times New Roman" w:eastAsia="Times New Roman" w:hAnsi="Times New Roman" w:cs="Times New Roman"/>
          <w:color w:val="000000"/>
          <w:sz w:val="28"/>
          <w:szCs w:val="28"/>
        </w:rPr>
      </w:pPr>
    </w:p>
    <w:p w:rsidR="000E660C" w:rsidRDefault="000E660C">
      <w:pPr>
        <w:pBdr>
          <w:top w:val="nil"/>
          <w:left w:val="nil"/>
          <w:bottom w:val="nil"/>
          <w:right w:val="nil"/>
          <w:between w:val="nil"/>
        </w:pBdr>
        <w:jc w:val="both"/>
        <w:rPr>
          <w:rFonts w:ascii="Times New Roman" w:eastAsia="Times New Roman" w:hAnsi="Times New Roman" w:cs="Times New Roman"/>
          <w:color w:val="000000"/>
          <w:sz w:val="28"/>
          <w:szCs w:val="28"/>
        </w:rPr>
      </w:pPr>
    </w:p>
    <w:sectPr w:rsidR="000E660C">
      <w:headerReference w:type="default" r:id="rId12"/>
      <w:headerReference w:type="first" r:id="rId13"/>
      <w:pgSz w:w="11906" w:h="16838"/>
      <w:pgMar w:top="709" w:right="567" w:bottom="567" w:left="1134" w:header="426" w:footer="182"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64A" w:rsidRDefault="00BA164A">
      <w:r>
        <w:separator/>
      </w:r>
    </w:p>
  </w:endnote>
  <w:endnote w:type="continuationSeparator" w:id="0">
    <w:p w:rsidR="00BA164A" w:rsidRDefault="00BA1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64A" w:rsidRDefault="00BA164A">
      <w:r>
        <w:separator/>
      </w:r>
    </w:p>
  </w:footnote>
  <w:footnote w:type="continuationSeparator" w:id="0">
    <w:p w:rsidR="00BA164A" w:rsidRDefault="00BA16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60C" w:rsidRDefault="00BA164A">
    <w:pPr>
      <w:pBdr>
        <w:top w:val="nil"/>
        <w:left w:val="nil"/>
        <w:bottom w:val="nil"/>
        <w:right w:val="nil"/>
        <w:between w:val="nil"/>
      </w:pBdr>
      <w:tabs>
        <w:tab w:val="center" w:pos="4677"/>
        <w:tab w:val="right" w:pos="9355"/>
      </w:tabs>
      <w:spacing w:after="200"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sidR="00175D7E">
      <w:rPr>
        <w:rFonts w:ascii="Times New Roman" w:eastAsia="Times New Roman" w:hAnsi="Times New Roman" w:cs="Times New Roman"/>
        <w:color w:val="000000"/>
        <w:sz w:val="24"/>
        <w:szCs w:val="24"/>
      </w:rPr>
      <w:fldChar w:fldCharType="separate"/>
    </w:r>
    <w:r w:rsidR="00175D7E">
      <w:rPr>
        <w:rFonts w:ascii="Times New Roman" w:eastAsia="Times New Roman" w:hAnsi="Times New Roman" w:cs="Times New Roman"/>
        <w:noProof/>
        <w:color w:val="000000"/>
        <w:sz w:val="24"/>
        <w:szCs w:val="24"/>
      </w:rPr>
      <w:t>2</w:t>
    </w:r>
    <w:r>
      <w:rPr>
        <w:rFonts w:ascii="Times New Roman" w:eastAsia="Times New Roman" w:hAnsi="Times New Roman" w:cs="Times New Roman"/>
        <w:color w:val="000000"/>
        <w:sz w:val="24"/>
        <w:szCs w:val="24"/>
      </w:rPr>
      <w:fldChar w:fldCharType="end"/>
    </w:r>
  </w:p>
  <w:p w:rsidR="000E660C" w:rsidRDefault="000E660C">
    <w:pPr>
      <w:pBdr>
        <w:top w:val="nil"/>
        <w:left w:val="nil"/>
        <w:bottom w:val="nil"/>
        <w:right w:val="nil"/>
        <w:between w:val="nil"/>
      </w:pBdr>
      <w:tabs>
        <w:tab w:val="center" w:pos="4677"/>
        <w:tab w:val="right" w:pos="9355"/>
      </w:tabs>
      <w:spacing w:after="200" w:line="276" w:lineRule="auto"/>
      <w:rPr>
        <w:color w:val="000000"/>
        <w:sz w:val="22"/>
        <w:szCs w:val="22"/>
      </w:rPr>
    </w:pPr>
  </w:p>
  <w:p w:rsidR="000E660C" w:rsidRDefault="00BA164A">
    <w:pPr>
      <w:pBdr>
        <w:top w:val="nil"/>
        <w:left w:val="nil"/>
        <w:bottom w:val="nil"/>
        <w:right w:val="nil"/>
        <w:between w:val="nil"/>
      </w:pBdr>
      <w:tabs>
        <w:tab w:val="left" w:pos="8647"/>
        <w:tab w:val="left" w:pos="10205"/>
      </w:tabs>
      <w:spacing w:after="60"/>
      <w:ind w:left="4395" w:firstLine="1275"/>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Продовження додатка 1</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60C" w:rsidRDefault="000E660C">
    <w:pPr>
      <w:pBdr>
        <w:top w:val="nil"/>
        <w:left w:val="nil"/>
        <w:bottom w:val="nil"/>
        <w:right w:val="nil"/>
        <w:between w:val="nil"/>
      </w:pBdr>
      <w:tabs>
        <w:tab w:val="center" w:pos="4677"/>
        <w:tab w:val="right" w:pos="9355"/>
      </w:tabs>
      <w:spacing w:after="200" w:line="276" w:lineRule="auto"/>
      <w:jc w:val="center"/>
      <w:rPr>
        <w:rFonts w:ascii="Times New Roman" w:eastAsia="Times New Roman" w:hAnsi="Times New Roman" w:cs="Times New Roman"/>
        <w:color w:val="000000"/>
        <w:sz w:val="24"/>
        <w:szCs w:val="24"/>
      </w:rPr>
    </w:pPr>
  </w:p>
  <w:p w:rsidR="000E660C" w:rsidRDefault="000E660C">
    <w:pPr>
      <w:pBdr>
        <w:top w:val="nil"/>
        <w:left w:val="nil"/>
        <w:bottom w:val="nil"/>
        <w:right w:val="nil"/>
        <w:between w:val="nil"/>
      </w:pBdr>
      <w:tabs>
        <w:tab w:val="left" w:pos="8647"/>
        <w:tab w:val="left" w:pos="10205"/>
      </w:tabs>
      <w:spacing w:after="60"/>
      <w:ind w:left="4395" w:firstLine="1842"/>
      <w:jc w:val="right"/>
      <w:rPr>
        <w:rFonts w:ascii="Times New Roman" w:eastAsia="Times New Roman" w:hAnsi="Times New Roman" w:cs="Times New Roman"/>
        <w:color w:val="000000"/>
        <w:sz w:val="24"/>
        <w:szCs w:val="24"/>
      </w:rPr>
    </w:pPr>
  </w:p>
  <w:p w:rsidR="000E660C" w:rsidRDefault="00BA164A">
    <w:pPr>
      <w:pBdr>
        <w:top w:val="nil"/>
        <w:left w:val="nil"/>
        <w:bottom w:val="nil"/>
        <w:right w:val="nil"/>
        <w:between w:val="nil"/>
      </w:pBdr>
      <w:spacing w:after="60"/>
      <w:ind w:firstLine="567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Додаток 3</w:t>
    </w:r>
  </w:p>
  <w:p w:rsidR="000E660C" w:rsidRDefault="00BA164A">
    <w:pPr>
      <w:pBdr>
        <w:top w:val="nil"/>
        <w:left w:val="nil"/>
        <w:bottom w:val="nil"/>
        <w:right w:val="nil"/>
        <w:between w:val="nil"/>
      </w:pBdr>
      <w:spacing w:after="60"/>
      <w:ind w:left="567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до Акта, складеного за результатами проведення  планового (позапланового) заходу державного нагляду (контролю) щодо дотримання суб’єктом господарювання вимог законодавства у сфері освітньої діяльності, що підлягає ліцензуванню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761610"/>
    <w:multiLevelType w:val="multilevel"/>
    <w:tmpl w:val="3E9075C2"/>
    <w:lvl w:ilvl="0">
      <w:start w:val="1"/>
      <w:numFmt w:val="decimal"/>
      <w:lvlText w:val="%1."/>
      <w:lvlJc w:val="left"/>
      <w:pPr>
        <w:ind w:left="720" w:hanging="360"/>
      </w:pPr>
      <w:rPr>
        <w:b/>
        <w:i/>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60C"/>
    <w:rsid w:val="000E660C"/>
    <w:rsid w:val="00175D7E"/>
    <w:rsid w:val="00BA164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6BE31"/>
  <w15:docId w15:val="{BBA602F1-C4E9-4607-864E-7FE7EDDA7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0"/>
    <w:tblPr>
      <w:tblStyleRowBandSize w:val="1"/>
      <w:tblStyleColBandSize w:val="1"/>
      <w:tblCellMar>
        <w:left w:w="108" w:type="dxa"/>
        <w:right w:w="108" w:type="dxa"/>
      </w:tblCellMar>
    </w:tblPr>
  </w:style>
  <w:style w:type="paragraph" w:styleId="a6">
    <w:name w:val="List Paragraph"/>
    <w:basedOn w:val="a"/>
    <w:uiPriority w:val="34"/>
    <w:qFormat/>
    <w:rsid w:val="000208CE"/>
    <w:pPr>
      <w:ind w:left="720"/>
      <w:contextualSpacing/>
    </w:pPr>
  </w:style>
  <w:style w:type="character" w:styleId="a7">
    <w:name w:val="Hyperlink"/>
    <w:basedOn w:val="a0"/>
    <w:uiPriority w:val="99"/>
    <w:semiHidden/>
    <w:unhideWhenUsed/>
    <w:rsid w:val="005A2E0C"/>
    <w:rPr>
      <w:color w:val="0000FF"/>
      <w:u w:val="single"/>
    </w:rPr>
  </w:style>
  <w:style w:type="paragraph" w:styleId="a8">
    <w:name w:val="header"/>
    <w:basedOn w:val="a"/>
    <w:link w:val="a9"/>
    <w:uiPriority w:val="99"/>
    <w:unhideWhenUsed/>
    <w:rsid w:val="00DD5607"/>
    <w:pPr>
      <w:tabs>
        <w:tab w:val="center" w:pos="4677"/>
        <w:tab w:val="right" w:pos="9355"/>
      </w:tabs>
    </w:pPr>
  </w:style>
  <w:style w:type="character" w:customStyle="1" w:styleId="a9">
    <w:name w:val="Верхній колонтитул Знак"/>
    <w:basedOn w:val="a0"/>
    <w:link w:val="a8"/>
    <w:uiPriority w:val="99"/>
    <w:rsid w:val="00DD5607"/>
  </w:style>
  <w:style w:type="paragraph" w:styleId="aa">
    <w:name w:val="footer"/>
    <w:basedOn w:val="a"/>
    <w:link w:val="ab"/>
    <w:uiPriority w:val="99"/>
    <w:unhideWhenUsed/>
    <w:rsid w:val="00DD5607"/>
    <w:pPr>
      <w:tabs>
        <w:tab w:val="center" w:pos="4677"/>
        <w:tab w:val="right" w:pos="9355"/>
      </w:tabs>
    </w:pPr>
  </w:style>
  <w:style w:type="character" w:customStyle="1" w:styleId="ab">
    <w:name w:val="Нижній колонтитул Знак"/>
    <w:basedOn w:val="a0"/>
    <w:link w:val="aa"/>
    <w:uiPriority w:val="99"/>
    <w:rsid w:val="00DD5607"/>
  </w:style>
  <w:style w:type="paragraph" w:styleId="ac">
    <w:name w:val="Normal (Web)"/>
    <w:basedOn w:val="a"/>
    <w:uiPriority w:val="99"/>
    <w:semiHidden/>
    <w:unhideWhenUsed/>
    <w:rsid w:val="00284C4F"/>
    <w:pPr>
      <w:spacing w:before="100" w:beforeAutospacing="1" w:after="100" w:afterAutospacing="1"/>
    </w:pPr>
    <w:rPr>
      <w:rFonts w:ascii="Times New Roman" w:eastAsia="Times New Roman" w:hAnsi="Times New Roman" w:cs="Times New Roman"/>
      <w:sz w:val="24"/>
      <w:szCs w:val="24"/>
    </w:rPr>
  </w:style>
  <w:style w:type="table" w:customStyle="1" w:styleId="ad">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932-1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zakon.rada.gov.ua/laws/show/2210-14" TargetMode="Externa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KRqzT7QBx0SuGqrNgmiJU3DL6g==">AMUW2mUNG1yMFZ/QQN+W0RUG0whrueSxbuyafVOpSmO5z1IobT03Heflmh3dIMXuXKWH5ZqbZwDp7T6+Tr5oBENXNKqCFLtRjOUdDZDu3Q7GCZ0sQpjF5C0kuJDSHcJ/rNfSER/mF1px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12079</Words>
  <Characters>6886</Characters>
  <Application>Microsoft Office Word</Application>
  <DocSecurity>0</DocSecurity>
  <Lines>57</Lines>
  <Paragraphs>37</Paragraphs>
  <ScaleCrop>false</ScaleCrop>
  <Company/>
  <LinksUpToDate>false</LinksUpToDate>
  <CharactersWithSpaces>18928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Kostya</dc:creator>
  <cp:lastModifiedBy>Кліменко Андрій Лукич</cp:lastModifiedBy>
  <cp:revision>2</cp:revision>
  <dcterms:created xsi:type="dcterms:W3CDTF">2021-07-08T13:51:00Z</dcterms:created>
  <dcterms:modified xsi:type="dcterms:W3CDTF">2021-07-21T11:46:00Z</dcterms:modified>
</cp:coreProperties>
</file>